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C7C2" w14:textId="3CBCF059" w:rsidR="007A1CAD" w:rsidRDefault="00D57180">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公司治理与资本运营EMBA班</w:t>
      </w:r>
    </w:p>
    <w:p w14:paraId="134ECEC1" w14:textId="77777777" w:rsidR="00D57180" w:rsidRPr="00D57180" w:rsidRDefault="00D57180" w:rsidP="00D57180">
      <w:pPr>
        <w:widowControl/>
        <w:shd w:val="clear" w:color="auto" w:fill="FFFFFF"/>
        <w:jc w:val="center"/>
        <w:rPr>
          <w:rFonts w:ascii="微软雅黑" w:eastAsia="微软雅黑" w:hAnsi="微软雅黑" w:cs="宋体"/>
          <w:color w:val="333333"/>
          <w:kern w:val="0"/>
          <w:szCs w:val="21"/>
        </w:rPr>
      </w:pPr>
      <w:r w:rsidRPr="00D57180">
        <w:rPr>
          <w:rFonts w:ascii="方正大黑简体" w:eastAsia="方正大黑简体" w:hAnsi="方正大黑简体" w:cs="宋体" w:hint="eastAsia"/>
          <w:b/>
          <w:bCs/>
          <w:color w:val="333333"/>
          <w:kern w:val="0"/>
          <w:szCs w:val="21"/>
        </w:rPr>
        <w:t>公司治理与资本运营总裁班</w:t>
      </w:r>
    </w:p>
    <w:p w14:paraId="515E8745" w14:textId="01EBD045" w:rsidR="00D57180" w:rsidRPr="00D57180" w:rsidRDefault="00D57180" w:rsidP="00D57180">
      <w:pPr>
        <w:widowControl/>
        <w:shd w:val="clear" w:color="auto" w:fill="FFFFFF"/>
        <w:ind w:firstLine="1920"/>
        <w:rPr>
          <w:rFonts w:ascii="微软雅黑" w:eastAsia="微软雅黑" w:hAnsi="微软雅黑" w:cs="宋体" w:hint="eastAsia"/>
          <w:color w:val="333333"/>
          <w:kern w:val="0"/>
          <w:szCs w:val="21"/>
        </w:rPr>
      </w:pPr>
      <w:r w:rsidRPr="00D57180">
        <w:rPr>
          <w:rFonts w:ascii="微软雅黑" w:eastAsia="微软雅黑" w:hAnsi="微软雅黑" w:cs="宋体"/>
          <w:color w:val="333333"/>
          <w:kern w:val="0"/>
          <w:szCs w:val="21"/>
        </w:rPr>
        <w:fldChar w:fldCharType="begin"/>
      </w:r>
      <w:r w:rsidRPr="00D57180">
        <w:rPr>
          <w:rFonts w:ascii="微软雅黑" w:eastAsia="微软雅黑" w:hAnsi="微软雅黑" w:cs="宋体"/>
          <w:color w:val="333333"/>
          <w:kern w:val="0"/>
          <w:szCs w:val="21"/>
        </w:rPr>
        <w:instrText xml:space="preserve"> INCLUDEPICTURE "http://embayanxiu.com/core/extend/ueditor/themes/default/images/spacer.gif" \* MERGEFORMATINET </w:instrText>
      </w:r>
      <w:r w:rsidRPr="00D57180">
        <w:rPr>
          <w:rFonts w:ascii="微软雅黑" w:eastAsia="微软雅黑" w:hAnsi="微软雅黑" w:cs="宋体"/>
          <w:color w:val="333333"/>
          <w:kern w:val="0"/>
          <w:szCs w:val="21"/>
        </w:rPr>
        <w:fldChar w:fldCharType="separate"/>
      </w:r>
      <w:r w:rsidRPr="00D57180">
        <w:rPr>
          <w:rFonts w:ascii="微软雅黑" w:eastAsia="微软雅黑" w:hAnsi="微软雅黑" w:cs="宋体"/>
          <w:noProof/>
          <w:color w:val="333333"/>
          <w:kern w:val="0"/>
          <w:szCs w:val="21"/>
        </w:rPr>
        <w:drawing>
          <wp:inline distT="0" distB="0" distL="0" distR="0" wp14:anchorId="7087582E" wp14:editId="630CECF8">
            <wp:extent cx="5274310" cy="1082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082675"/>
                    </a:xfrm>
                    <a:prstGeom prst="rect">
                      <a:avLst/>
                    </a:prstGeom>
                    <a:noFill/>
                    <a:ln>
                      <a:noFill/>
                    </a:ln>
                  </pic:spPr>
                </pic:pic>
              </a:graphicData>
            </a:graphic>
          </wp:inline>
        </w:drawing>
      </w:r>
      <w:r w:rsidRPr="00D57180">
        <w:rPr>
          <w:rFonts w:ascii="微软雅黑" w:eastAsia="微软雅黑" w:hAnsi="微软雅黑" w:cs="宋体"/>
          <w:color w:val="333333"/>
          <w:kern w:val="0"/>
          <w:szCs w:val="21"/>
        </w:rPr>
        <w:fldChar w:fldCharType="end"/>
      </w:r>
      <w:r w:rsidRPr="00D57180">
        <w:rPr>
          <w:rFonts w:ascii="Cambria" w:eastAsia="方正大黑简体" w:hAnsi="Cambria" w:cs="Cambria"/>
          <w:b/>
          <w:bCs/>
          <w:color w:val="333333"/>
          <w:kern w:val="0"/>
          <w:sz w:val="24"/>
        </w:rPr>
        <w:t> </w:t>
      </w:r>
    </w:p>
    <w:p w14:paraId="32785502" w14:textId="77777777" w:rsidR="00D57180" w:rsidRPr="00D57180" w:rsidRDefault="00D57180" w:rsidP="00D57180">
      <w:pPr>
        <w:widowControl/>
        <w:shd w:val="clear" w:color="auto" w:fill="FFFFFF"/>
        <w:spacing w:line="315"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color w:val="552579"/>
          <w:kern w:val="0"/>
          <w:szCs w:val="21"/>
        </w:rPr>
        <w:t>以清华大学北大</w:t>
      </w:r>
      <w:r w:rsidRPr="00D57180">
        <w:rPr>
          <w:rFonts w:ascii="微软雅黑" w:eastAsia="微软雅黑" w:hAnsi="微软雅黑" w:cs="宋体" w:hint="eastAsia"/>
          <w:color w:val="552579"/>
          <w:kern w:val="0"/>
          <w:sz w:val="24"/>
        </w:rPr>
        <w:t>EMBA核心教授、资本运营实战专家为主要导师团队，课程紧贴中国经济发展实际，兼顾热点与前沿助力学员提升管理能力、优化公司治理、拓展资本视野、把握投资决策、占据金融高地。</w:t>
      </w:r>
    </w:p>
    <w:p w14:paraId="4D61F9A1" w14:textId="77777777" w:rsidR="00D57180" w:rsidRPr="00D57180" w:rsidRDefault="00D57180" w:rsidP="00D57180">
      <w:pPr>
        <w:widowControl/>
        <w:shd w:val="clear" w:color="auto" w:fill="FFFFFF"/>
        <w:jc w:val="left"/>
        <w:rPr>
          <w:rFonts w:ascii="微软雅黑" w:eastAsia="微软雅黑" w:hAnsi="微软雅黑" w:cs="宋体" w:hint="eastAsia"/>
          <w:color w:val="333333"/>
          <w:kern w:val="0"/>
          <w:szCs w:val="21"/>
        </w:rPr>
      </w:pPr>
      <w:r w:rsidRPr="00D57180">
        <w:rPr>
          <w:rFonts w:ascii="Cambria" w:eastAsia="方正大黑简体" w:hAnsi="Cambria" w:cs="Cambria"/>
          <w:b/>
          <w:bCs/>
          <w:color w:val="7030A0"/>
          <w:kern w:val="0"/>
          <w:sz w:val="32"/>
          <w:szCs w:val="32"/>
        </w:rPr>
        <w:t> </w:t>
      </w:r>
    </w:p>
    <w:p w14:paraId="42B26F67"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【项目背景】</w:t>
      </w:r>
      <w:r w:rsidRPr="00D57180">
        <w:rPr>
          <w:rFonts w:ascii="华文细黑" w:eastAsia="华文细黑" w:hAnsi="华文细黑" w:cs="宋体" w:hint="eastAsia"/>
          <w:color w:val="333333"/>
          <w:kern w:val="0"/>
          <w:szCs w:val="21"/>
        </w:rPr>
        <w:t>在全球经济一体化的今天，中国作为世界第二大经济体正在全面发展，并逐渐成为世界经济的中流砥柱。国企业面临着多种发展机遇和挑战，政策的多变性和外部环境的不确定性需要企业家具备全球化的领导格局和金融思维，应对并把握大国博弈时代中国崛起的世纪机遇。在目前的商业竞争环境中，健康的公司治理与善于资本运作是企业发展致胜的两大核心。</w:t>
      </w:r>
    </w:p>
    <w:p w14:paraId="52689B0F" w14:textId="77777777" w:rsidR="00D57180" w:rsidRPr="00D57180" w:rsidRDefault="00D57180" w:rsidP="00D57180">
      <w:pPr>
        <w:widowControl/>
        <w:shd w:val="clear" w:color="auto" w:fill="FFFFFF"/>
        <w:spacing w:line="480" w:lineRule="atLeast"/>
        <w:ind w:firstLine="48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2006年至今，《公司治理与资本运作总裁项目》以“强大中国企业家队伍”为使命，面向市场经济的成功实践者，以“中国深度、世界广度”为定位，遴选最优师资</w:t>
      </w:r>
      <w:r w:rsidRPr="00D57180">
        <w:rPr>
          <w:rFonts w:ascii="华文细黑" w:eastAsia="华文细黑" w:hAnsi="华文细黑" w:cs="宋体" w:hint="eastAsia"/>
          <w:color w:val="333333"/>
          <w:kern w:val="0"/>
          <w:szCs w:val="21"/>
        </w:rPr>
        <w:t>，紧扣工商管理、公司治理与资本运营三大主题，同时结合新时代发展的需要，顺应时代金融强国背景，提升新时代企业家管理能力及资本运营能力。作为工商管理</w:t>
      </w:r>
      <w:r w:rsidRPr="00D57180">
        <w:rPr>
          <w:rFonts w:ascii="华文细黑" w:eastAsia="华文细黑" w:hAnsi="华文细黑" w:cs="宋体" w:hint="eastAsia"/>
          <w:color w:val="333333"/>
          <w:kern w:val="0"/>
          <w:sz w:val="24"/>
        </w:rPr>
        <w:t>EMBA升级课</w:t>
      </w:r>
      <w:r w:rsidRPr="00D57180">
        <w:rPr>
          <w:rFonts w:ascii="华文细黑" w:eastAsia="华文细黑" w:hAnsi="华文细黑" w:cs="宋体" w:hint="eastAsia"/>
          <w:color w:val="333333"/>
          <w:kern w:val="0"/>
          <w:szCs w:val="21"/>
        </w:rPr>
        <w:t>，帮助学员优化公司治理、拓展资本视野、正确投融资决策，有效地实现企业管理、治理、资本运作能力的全面提升。</w:t>
      </w:r>
    </w:p>
    <w:p w14:paraId="121163B9"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w:t>
      </w:r>
    </w:p>
    <w:p w14:paraId="402B5872"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【核心价值】</w:t>
      </w:r>
    </w:p>
    <w:p w14:paraId="59ECD5A5"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333333"/>
          <w:kern w:val="0"/>
          <w:szCs w:val="21"/>
        </w:rPr>
        <w:lastRenderedPageBreak/>
        <w:t>把脉发展趋势</w:t>
      </w:r>
      <w:r w:rsidRPr="00D57180">
        <w:rPr>
          <w:rFonts w:ascii="华文细黑" w:eastAsia="华文细黑" w:hAnsi="华文细黑" w:cs="宋体" w:hint="eastAsia"/>
          <w:color w:val="333333"/>
          <w:kern w:val="0"/>
          <w:sz w:val="24"/>
        </w:rPr>
        <w:t>—把握中国公司治理的发展现状及趋势，建立完善的现代公司治理结构。</w:t>
      </w:r>
    </w:p>
    <w:p w14:paraId="6DCCF8AD"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333333"/>
          <w:kern w:val="0"/>
          <w:szCs w:val="21"/>
        </w:rPr>
        <w:t>建立治理体系</w:t>
      </w:r>
      <w:r w:rsidRPr="00D57180">
        <w:rPr>
          <w:rFonts w:ascii="华文细黑" w:eastAsia="华文细黑" w:hAnsi="华文细黑" w:cs="宋体" w:hint="eastAsia"/>
          <w:color w:val="333333"/>
          <w:kern w:val="0"/>
          <w:sz w:val="24"/>
        </w:rPr>
        <w:t>—理清资本运营与生产经营的内在联系，用最优的治理让资本运作更顺畅。</w:t>
      </w:r>
    </w:p>
    <w:p w14:paraId="6B6CE79A"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333333"/>
          <w:kern w:val="0"/>
          <w:szCs w:val="21"/>
        </w:rPr>
        <w:t>把控运营要点</w:t>
      </w:r>
      <w:r w:rsidRPr="00D57180">
        <w:rPr>
          <w:rFonts w:ascii="华文细黑" w:eastAsia="华文细黑" w:hAnsi="华文细黑" w:cs="宋体" w:hint="eastAsia"/>
          <w:color w:val="333333"/>
          <w:kern w:val="0"/>
          <w:sz w:val="24"/>
        </w:rPr>
        <w:t>—明确企业资本运营过程中需注意的问题与风险，寻求最佳的解决方案。</w:t>
      </w:r>
    </w:p>
    <w:p w14:paraId="4BFDE85E"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333333"/>
          <w:kern w:val="0"/>
          <w:szCs w:val="21"/>
        </w:rPr>
        <w:t>全面方法设计</w:t>
      </w:r>
      <w:r w:rsidRPr="00D57180">
        <w:rPr>
          <w:rFonts w:ascii="华文细黑" w:eastAsia="华文细黑" w:hAnsi="华文细黑" w:cs="宋体" w:hint="eastAsia"/>
          <w:color w:val="333333"/>
          <w:kern w:val="0"/>
          <w:sz w:val="24"/>
        </w:rPr>
        <w:t>—掌握国际最新的资本运营手段及方法，为企业的资本运营寻找出路</w:t>
      </w:r>
    </w:p>
    <w:p w14:paraId="66C84DDD"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【课程安排】</w:t>
      </w:r>
    </w:p>
    <w:tbl>
      <w:tblPr>
        <w:tblW w:w="9525" w:type="dxa"/>
        <w:shd w:val="clear" w:color="auto" w:fill="FFFFFF"/>
        <w:tblCellMar>
          <w:left w:w="0" w:type="dxa"/>
          <w:right w:w="0" w:type="dxa"/>
        </w:tblCellMar>
        <w:tblLook w:val="04A0" w:firstRow="1" w:lastRow="0" w:firstColumn="1" w:lastColumn="0" w:noHBand="0" w:noVBand="1"/>
      </w:tblPr>
      <w:tblGrid>
        <w:gridCol w:w="4665"/>
        <w:gridCol w:w="4860"/>
      </w:tblGrid>
      <w:tr w:rsidR="00D57180" w:rsidRPr="00D57180" w14:paraId="59721397" w14:textId="77777777" w:rsidTr="00D57180">
        <w:trPr>
          <w:trHeight w:val="765"/>
        </w:trPr>
        <w:tc>
          <w:tcPr>
            <w:tcW w:w="9525" w:type="dxa"/>
            <w:gridSpan w:val="2"/>
            <w:tcBorders>
              <w:top w:val="nil"/>
              <w:left w:val="nil"/>
              <w:bottom w:val="single" w:sz="6" w:space="0" w:color="7030A0"/>
              <w:right w:val="nil"/>
            </w:tcBorders>
            <w:shd w:val="clear" w:color="auto" w:fill="7030A0"/>
            <w:vAlign w:val="center"/>
            <w:hideMark/>
          </w:tcPr>
          <w:p w14:paraId="2D6010D2"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FFFFFF"/>
                <w:kern w:val="0"/>
                <w:sz w:val="29"/>
                <w:szCs w:val="29"/>
              </w:rPr>
              <w:t>工商管理EMBA核心课</w:t>
            </w:r>
          </w:p>
        </w:tc>
      </w:tr>
      <w:tr w:rsidR="00D57180" w:rsidRPr="00D57180" w14:paraId="6D6FE6E8" w14:textId="77777777" w:rsidTr="00D57180">
        <w:trPr>
          <w:trHeight w:val="705"/>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086676C1"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宏观经济形势</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5DE676FE"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战略管理</w:t>
            </w:r>
          </w:p>
        </w:tc>
      </w:tr>
      <w:tr w:rsidR="00D57180" w:rsidRPr="00D57180" w14:paraId="07E508A3" w14:textId="77777777" w:rsidTr="00D57180">
        <w:trPr>
          <w:trHeight w:val="2550"/>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78FA3D0D"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中国宏观经济走势及政策选择</w:t>
            </w:r>
          </w:p>
          <w:p w14:paraId="330515C8"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当前热点宏观经济问题</w:t>
            </w:r>
          </w:p>
          <w:p w14:paraId="65216F72"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财政政策的调控机制</w:t>
            </w:r>
          </w:p>
          <w:p w14:paraId="4EBD67CB"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宏观经济与企业发展</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5343A87E" w14:textId="77777777" w:rsidR="00D57180" w:rsidRPr="00D57180" w:rsidRDefault="00D57180" w:rsidP="00D57180">
            <w:pPr>
              <w:widowControl/>
              <w:spacing w:line="480" w:lineRule="atLeast"/>
              <w:ind w:left="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战略管理新思维</w:t>
            </w:r>
            <w:r w:rsidRPr="00D57180">
              <w:rPr>
                <w:rFonts w:ascii="微软雅黑" w:eastAsia="微软雅黑" w:hAnsi="微软雅黑" w:cs="宋体" w:hint="eastAsia"/>
                <w:color w:val="333333"/>
                <w:kern w:val="0"/>
                <w:szCs w:val="21"/>
              </w:rPr>
              <w:br/>
            </w:r>
            <w:r w:rsidRPr="00D57180">
              <w:rPr>
                <w:rFonts w:ascii="华文细黑" w:eastAsia="华文细黑" w:hAnsi="华文细黑" w:cs="宋体" w:hint="eastAsia"/>
                <w:color w:val="333333"/>
                <w:kern w:val="0"/>
                <w:sz w:val="24"/>
              </w:rPr>
              <w:t>★ 企业再定位与商业模式再定位</w:t>
            </w:r>
          </w:p>
          <w:p w14:paraId="65A3CA2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战略运营与机制管控</w:t>
            </w:r>
          </w:p>
          <w:p w14:paraId="578E447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商业模式创新与顶层设计</w:t>
            </w:r>
          </w:p>
        </w:tc>
      </w:tr>
      <w:tr w:rsidR="00D57180" w:rsidRPr="00D57180" w14:paraId="2616165D" w14:textId="77777777" w:rsidTr="00D57180">
        <w:trPr>
          <w:trHeight w:val="720"/>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7888F74E"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营销与品牌</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39845DFA"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人力资源战略</w:t>
            </w:r>
          </w:p>
        </w:tc>
      </w:tr>
      <w:tr w:rsidR="00D57180" w:rsidRPr="00D57180" w14:paraId="36610F47" w14:textId="77777777" w:rsidTr="00D57180">
        <w:trPr>
          <w:trHeight w:val="2640"/>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3864BFC2"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营销决策理念与规律</w:t>
            </w:r>
          </w:p>
          <w:p w14:paraId="0C1D446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切割营销及品牌二极法则</w:t>
            </w:r>
          </w:p>
          <w:p w14:paraId="59D4FAFA"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品牌战略营销推广</w:t>
            </w:r>
          </w:p>
          <w:p w14:paraId="5AAD3C6F"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产品诊断与品牌策划</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42F4529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企业人力资源战略</w:t>
            </w:r>
          </w:p>
          <w:p w14:paraId="3210D2F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人力资源管理制度体系</w:t>
            </w:r>
          </w:p>
          <w:p w14:paraId="4A79B6A7"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岗位股份制公司理论</w:t>
            </w:r>
          </w:p>
          <w:p w14:paraId="3A61009B"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战略性人力资源管理</w:t>
            </w:r>
          </w:p>
        </w:tc>
      </w:tr>
      <w:tr w:rsidR="00D57180" w:rsidRPr="00D57180" w14:paraId="4AC1F32A" w14:textId="77777777" w:rsidTr="00D57180">
        <w:trPr>
          <w:trHeight w:val="780"/>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4493EFE2"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财税管理</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7A6689D0"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领导力提升</w:t>
            </w:r>
          </w:p>
        </w:tc>
      </w:tr>
      <w:tr w:rsidR="00D57180" w:rsidRPr="00D57180" w14:paraId="2FB74622" w14:textId="77777777" w:rsidTr="00D57180">
        <w:trPr>
          <w:trHeight w:val="2550"/>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0D9A5CD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lastRenderedPageBreak/>
              <w:t>★ 现代企业的财务体系构建</w:t>
            </w:r>
          </w:p>
          <w:p w14:paraId="75E76722"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非财务人员财务管理</w:t>
            </w:r>
          </w:p>
          <w:p w14:paraId="496C7FCF"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税制改革新政及涉税风险防范</w:t>
            </w:r>
          </w:p>
          <w:p w14:paraId="626FF6CC"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税务管理与税务筹划</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7C5BDEB3"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管理新思维</w:t>
            </w:r>
          </w:p>
          <w:p w14:paraId="6B7B7D20"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领导者品格修养和情商提升</w:t>
            </w:r>
          </w:p>
          <w:p w14:paraId="7B7C177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卓越领导艺术</w:t>
            </w:r>
          </w:p>
          <w:p w14:paraId="629CAD75"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沟通技巧与交际礼仪</w:t>
            </w:r>
          </w:p>
        </w:tc>
      </w:tr>
      <w:tr w:rsidR="00D57180" w:rsidRPr="00D57180" w14:paraId="4F934184" w14:textId="77777777" w:rsidTr="00D57180">
        <w:trPr>
          <w:trHeight w:val="780"/>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250A5E05"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人文素养</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19C5AD3A"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国学智慧</w:t>
            </w:r>
          </w:p>
        </w:tc>
      </w:tr>
      <w:tr w:rsidR="00D57180" w:rsidRPr="00D57180" w14:paraId="52348EC3" w14:textId="77777777" w:rsidTr="00D57180">
        <w:trPr>
          <w:trHeight w:val="2565"/>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5F454EAD"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文化致胜</w:t>
            </w:r>
          </w:p>
          <w:p w14:paraId="00E8280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传统文化中的处人及自处之道</w:t>
            </w:r>
          </w:p>
          <w:p w14:paraId="65536A1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运动养生与健康管理</w:t>
            </w:r>
          </w:p>
          <w:p w14:paraId="4C19788D"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领导者演讲能力提升</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0832A520"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国学智慧与领导韬略</w:t>
            </w:r>
          </w:p>
          <w:p w14:paraId="19F55F52"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儒家文化与企业价值观</w:t>
            </w:r>
          </w:p>
          <w:p w14:paraId="75568415"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毛泽东统帅之道</w:t>
            </w:r>
          </w:p>
          <w:p w14:paraId="13161BC8"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曾国藩管理智慧</w:t>
            </w:r>
          </w:p>
        </w:tc>
      </w:tr>
      <w:tr w:rsidR="00D57180" w:rsidRPr="00D57180" w14:paraId="045FB3ED" w14:textId="77777777" w:rsidTr="00D57180">
        <w:trPr>
          <w:trHeight w:val="780"/>
        </w:trPr>
        <w:tc>
          <w:tcPr>
            <w:tcW w:w="9525" w:type="dxa"/>
            <w:gridSpan w:val="2"/>
            <w:tcBorders>
              <w:top w:val="single" w:sz="6" w:space="0" w:color="7030A0"/>
              <w:left w:val="nil"/>
              <w:bottom w:val="single" w:sz="6" w:space="0" w:color="7030A0"/>
              <w:right w:val="nil"/>
            </w:tcBorders>
            <w:shd w:val="clear" w:color="auto" w:fill="7030A0"/>
            <w:vAlign w:val="center"/>
            <w:hideMark/>
          </w:tcPr>
          <w:p w14:paraId="4555B724" w14:textId="77777777" w:rsidR="00D57180" w:rsidRPr="00D57180" w:rsidRDefault="00D57180" w:rsidP="00D57180">
            <w:pPr>
              <w:widowControl/>
              <w:ind w:firstLine="285"/>
              <w:jc w:val="center"/>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FFFFFF"/>
                <w:kern w:val="0"/>
                <w:sz w:val="29"/>
                <w:szCs w:val="29"/>
              </w:rPr>
              <w:t>新时代公司治理</w:t>
            </w:r>
          </w:p>
        </w:tc>
      </w:tr>
      <w:tr w:rsidR="00D57180" w:rsidRPr="00D57180" w14:paraId="6E2364F7" w14:textId="77777777" w:rsidTr="00D57180">
        <w:trPr>
          <w:trHeight w:val="705"/>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66864863"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公司治理</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4893EE22"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股权激励</w:t>
            </w:r>
          </w:p>
        </w:tc>
      </w:tr>
      <w:tr w:rsidR="00D57180" w:rsidRPr="00D57180" w14:paraId="368B0B20" w14:textId="77777777" w:rsidTr="00D57180">
        <w:trPr>
          <w:trHeight w:val="1995"/>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5EE55708"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公司治理的系统策略</w:t>
            </w:r>
          </w:p>
          <w:p w14:paraId="1F48BF20"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公司治理决策与实施</w:t>
            </w:r>
          </w:p>
          <w:p w14:paraId="44D8F3B5"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公司治理结构完善实务</w:t>
            </w:r>
          </w:p>
          <w:p w14:paraId="520A52BA"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司治理盲点与误区</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71147997"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股权激励的模式</w:t>
            </w:r>
          </w:p>
          <w:p w14:paraId="398995C2"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股权分配与利益分配</w:t>
            </w:r>
          </w:p>
          <w:p w14:paraId="6E430FB6"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股权结构权益设计</w:t>
            </w:r>
          </w:p>
          <w:p w14:paraId="1DBEA9F6"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股权合伙机制</w:t>
            </w:r>
          </w:p>
        </w:tc>
      </w:tr>
      <w:tr w:rsidR="00D57180" w:rsidRPr="00D57180" w14:paraId="60A5C267" w14:textId="77777777" w:rsidTr="00D57180">
        <w:trPr>
          <w:trHeight w:val="615"/>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0F368C6A"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组织建设</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3AB5846B"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公司价值重构</w:t>
            </w:r>
          </w:p>
        </w:tc>
      </w:tr>
      <w:tr w:rsidR="00D57180" w:rsidRPr="00D57180" w14:paraId="2C8516EA" w14:textId="77777777" w:rsidTr="00D57180">
        <w:trPr>
          <w:trHeight w:val="1980"/>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521FD8D6"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企业组织文化建设</w:t>
            </w:r>
          </w:p>
          <w:p w14:paraId="2ACE6767"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企业组织设计与创新思维</w:t>
            </w:r>
          </w:p>
          <w:p w14:paraId="4B61B63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组织行为与企业管理</w:t>
            </w:r>
          </w:p>
          <w:p w14:paraId="7E97D648"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企业家精神与企业文化</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22048FDB"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商业模式重构</w:t>
            </w:r>
          </w:p>
          <w:p w14:paraId="240F763D"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互联网时代的产业链接</w:t>
            </w:r>
          </w:p>
          <w:p w14:paraId="0037C60D"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企业生态与价值结构</w:t>
            </w:r>
          </w:p>
          <w:p w14:paraId="76B58390"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企业核心资产打造</w:t>
            </w:r>
          </w:p>
        </w:tc>
      </w:tr>
      <w:tr w:rsidR="00D57180" w:rsidRPr="00D57180" w14:paraId="338452C1" w14:textId="77777777" w:rsidTr="00D57180">
        <w:trPr>
          <w:trHeight w:val="735"/>
        </w:trPr>
        <w:tc>
          <w:tcPr>
            <w:tcW w:w="9525" w:type="dxa"/>
            <w:gridSpan w:val="2"/>
            <w:tcBorders>
              <w:top w:val="single" w:sz="6" w:space="0" w:color="7030A0"/>
              <w:left w:val="nil"/>
              <w:bottom w:val="single" w:sz="6" w:space="0" w:color="7030A0"/>
              <w:right w:val="nil"/>
            </w:tcBorders>
            <w:shd w:val="clear" w:color="auto" w:fill="7030A0"/>
            <w:vAlign w:val="center"/>
            <w:hideMark/>
          </w:tcPr>
          <w:p w14:paraId="08CCCA94"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FFFFFF"/>
                <w:kern w:val="0"/>
                <w:sz w:val="29"/>
                <w:szCs w:val="29"/>
              </w:rPr>
              <w:t>企业资本运营</w:t>
            </w:r>
          </w:p>
        </w:tc>
      </w:tr>
      <w:tr w:rsidR="00D57180" w:rsidRPr="00D57180" w14:paraId="2B19D5C9" w14:textId="77777777" w:rsidTr="00D57180">
        <w:trPr>
          <w:trHeight w:val="660"/>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7667786C"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lastRenderedPageBreak/>
              <w:t>并购重组</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7A83BDEB"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私募股权基金的实操</w:t>
            </w:r>
          </w:p>
        </w:tc>
      </w:tr>
      <w:tr w:rsidR="00D57180" w:rsidRPr="00D57180" w14:paraId="55B672E9" w14:textId="77777777" w:rsidTr="00D57180">
        <w:trPr>
          <w:trHeight w:val="1905"/>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192B4BC6"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企业重组的价值与收益评估</w:t>
            </w:r>
          </w:p>
          <w:p w14:paraId="2D06B6E9"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重组过程中的谈判策略</w:t>
            </w:r>
          </w:p>
          <w:p w14:paraId="75A3C329"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MBO与雇员持股计划</w:t>
            </w:r>
          </w:p>
          <w:p w14:paraId="2682F6C7"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海外及跨境并购</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094205F1" w14:textId="77777777" w:rsidR="00D57180" w:rsidRPr="00D57180" w:rsidRDefault="00D57180" w:rsidP="00D57180">
            <w:pPr>
              <w:widowControl/>
              <w:spacing w:line="480" w:lineRule="atLeast"/>
              <w:ind w:left="48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私募股权基金的设立募集</w:t>
            </w:r>
          </w:p>
          <w:p w14:paraId="44EA9344" w14:textId="77777777" w:rsidR="00D57180" w:rsidRPr="00D57180" w:rsidRDefault="00D57180" w:rsidP="00D57180">
            <w:pPr>
              <w:widowControl/>
              <w:spacing w:line="480" w:lineRule="atLeast"/>
              <w:ind w:left="48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私募股权基金的项目投资</w:t>
            </w:r>
          </w:p>
          <w:p w14:paraId="762071B0" w14:textId="77777777" w:rsidR="00D57180" w:rsidRPr="00D57180" w:rsidRDefault="00D57180" w:rsidP="00D57180">
            <w:pPr>
              <w:widowControl/>
              <w:spacing w:line="480" w:lineRule="atLeast"/>
              <w:ind w:left="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私募股权投资基金管理</w:t>
            </w:r>
            <w:r w:rsidRPr="00D57180">
              <w:rPr>
                <w:rFonts w:ascii="微软雅黑" w:eastAsia="微软雅黑" w:hAnsi="微软雅黑" w:cs="宋体" w:hint="eastAsia"/>
                <w:color w:val="333333"/>
                <w:kern w:val="0"/>
                <w:szCs w:val="21"/>
              </w:rPr>
              <w:br/>
            </w:r>
            <w:r w:rsidRPr="00D57180">
              <w:rPr>
                <w:rFonts w:ascii="华文细黑" w:eastAsia="华文细黑" w:hAnsi="华文细黑" w:cs="宋体" w:hint="eastAsia"/>
                <w:color w:val="333333"/>
                <w:kern w:val="0"/>
                <w:sz w:val="24"/>
              </w:rPr>
              <w:t>★ 私募股权投资基金退出机制</w:t>
            </w:r>
          </w:p>
        </w:tc>
      </w:tr>
      <w:tr w:rsidR="00D57180" w:rsidRPr="00D57180" w14:paraId="2AA19CEB" w14:textId="77777777" w:rsidTr="00D57180">
        <w:trPr>
          <w:trHeight w:val="555"/>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536325CA"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风险投资</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1DADABB9"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产业投资</w:t>
            </w:r>
          </w:p>
        </w:tc>
      </w:tr>
      <w:tr w:rsidR="00D57180" w:rsidRPr="00D57180" w14:paraId="5C2E2678" w14:textId="77777777" w:rsidTr="00D57180">
        <w:trPr>
          <w:trHeight w:val="2010"/>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150DAC8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创投产业的实务与案例</w:t>
            </w:r>
          </w:p>
          <w:p w14:paraId="489F8F2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风险投资的退出机制</w:t>
            </w:r>
          </w:p>
          <w:p w14:paraId="2C42BCA8"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风险投资的融资活动</w:t>
            </w:r>
          </w:p>
          <w:p w14:paraId="174C4071"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风险投资相关法律与财务</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6350E67F"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创投产业的实务与案例</w:t>
            </w:r>
          </w:p>
          <w:p w14:paraId="31A77FDD"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风险投资与管理</w:t>
            </w:r>
          </w:p>
          <w:p w14:paraId="01E10014"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不动产投资的危与机</w:t>
            </w:r>
          </w:p>
          <w:p w14:paraId="2FCCBAFC"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脱虚向实的投资转化</w:t>
            </w:r>
          </w:p>
        </w:tc>
      </w:tr>
      <w:tr w:rsidR="00D57180" w:rsidRPr="00D57180" w14:paraId="20AA34EA" w14:textId="77777777" w:rsidTr="00D57180">
        <w:trPr>
          <w:trHeight w:val="675"/>
        </w:trPr>
        <w:tc>
          <w:tcPr>
            <w:tcW w:w="4665" w:type="dxa"/>
            <w:tcBorders>
              <w:top w:val="single" w:sz="6" w:space="0" w:color="7030A0"/>
              <w:left w:val="nil"/>
              <w:bottom w:val="single" w:sz="6" w:space="0" w:color="7030A0"/>
              <w:right w:val="single" w:sz="6" w:space="0" w:color="7030A0"/>
            </w:tcBorders>
            <w:shd w:val="clear" w:color="auto" w:fill="E4E4E4"/>
            <w:vAlign w:val="center"/>
            <w:hideMark/>
          </w:tcPr>
          <w:p w14:paraId="7186C107"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融资战略</w:t>
            </w:r>
          </w:p>
        </w:tc>
        <w:tc>
          <w:tcPr>
            <w:tcW w:w="4845" w:type="dxa"/>
            <w:tcBorders>
              <w:top w:val="single" w:sz="6" w:space="0" w:color="7030A0"/>
              <w:left w:val="single" w:sz="6" w:space="0" w:color="7030A0"/>
              <w:bottom w:val="single" w:sz="6" w:space="0" w:color="7030A0"/>
              <w:right w:val="nil"/>
            </w:tcBorders>
            <w:shd w:val="clear" w:color="auto" w:fill="E4E4E4"/>
            <w:vAlign w:val="center"/>
            <w:hideMark/>
          </w:tcPr>
          <w:p w14:paraId="59A817E9"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333333"/>
                <w:kern w:val="0"/>
                <w:sz w:val="24"/>
              </w:rPr>
              <w:t>上市战略的选择与操作</w:t>
            </w:r>
          </w:p>
        </w:tc>
      </w:tr>
      <w:tr w:rsidR="00D57180" w:rsidRPr="00D57180" w14:paraId="46C3C444" w14:textId="77777777" w:rsidTr="00D57180">
        <w:trPr>
          <w:trHeight w:val="1890"/>
        </w:trPr>
        <w:tc>
          <w:tcPr>
            <w:tcW w:w="4665" w:type="dxa"/>
            <w:tcBorders>
              <w:top w:val="single" w:sz="6" w:space="0" w:color="7030A0"/>
              <w:left w:val="nil"/>
              <w:bottom w:val="single" w:sz="6" w:space="0" w:color="7030A0"/>
              <w:right w:val="single" w:sz="6" w:space="0" w:color="7030A0"/>
            </w:tcBorders>
            <w:shd w:val="clear" w:color="auto" w:fill="FFFFFF"/>
            <w:vAlign w:val="center"/>
            <w:hideMark/>
          </w:tcPr>
          <w:p w14:paraId="3CBCC4BB"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项目评估与融资实务</w:t>
            </w:r>
          </w:p>
          <w:p w14:paraId="30D41DF7"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融资陷阱与风险管控</w:t>
            </w:r>
          </w:p>
          <w:p w14:paraId="548E5303"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交易架构设计与执行</w:t>
            </w:r>
          </w:p>
          <w:p w14:paraId="73138276"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资产证券化融资</w:t>
            </w:r>
          </w:p>
        </w:tc>
        <w:tc>
          <w:tcPr>
            <w:tcW w:w="4845" w:type="dxa"/>
            <w:tcBorders>
              <w:top w:val="single" w:sz="6" w:space="0" w:color="7030A0"/>
              <w:left w:val="single" w:sz="6" w:space="0" w:color="7030A0"/>
              <w:bottom w:val="single" w:sz="6" w:space="0" w:color="7030A0"/>
              <w:right w:val="nil"/>
            </w:tcBorders>
            <w:shd w:val="clear" w:color="auto" w:fill="FFFFFF"/>
            <w:vAlign w:val="center"/>
            <w:hideMark/>
          </w:tcPr>
          <w:p w14:paraId="4E80EA0B"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国内外主板和创业板上市战略</w:t>
            </w:r>
          </w:p>
          <w:p w14:paraId="429F8788"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不同上市地的审批、监管及规则</w:t>
            </w:r>
          </w:p>
          <w:p w14:paraId="7D1F3695"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上市过程中流程及操作</w:t>
            </w:r>
          </w:p>
          <w:p w14:paraId="317DEB97" w14:textId="77777777" w:rsidR="00D57180" w:rsidRPr="00D57180" w:rsidRDefault="00D57180" w:rsidP="00D57180">
            <w:pPr>
              <w:widowControl/>
              <w:spacing w:line="480" w:lineRule="atLeast"/>
              <w:ind w:firstLine="24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 w:val="24"/>
              </w:rPr>
              <w:t>★ 上市之前与当中的财务审计</w:t>
            </w:r>
          </w:p>
        </w:tc>
      </w:tr>
    </w:tbl>
    <w:p w14:paraId="5F4D3852" w14:textId="77777777" w:rsidR="00D57180" w:rsidRPr="00D57180" w:rsidRDefault="00D57180" w:rsidP="00D57180">
      <w:pPr>
        <w:widowControl/>
        <w:jc w:val="left"/>
        <w:rPr>
          <w:rFonts w:ascii="宋体" w:eastAsia="宋体" w:hAnsi="宋体" w:cs="宋体"/>
          <w:vanish/>
          <w:kern w:val="0"/>
          <w:sz w:val="24"/>
        </w:rPr>
      </w:pPr>
    </w:p>
    <w:tbl>
      <w:tblPr>
        <w:tblW w:w="9435" w:type="dxa"/>
        <w:shd w:val="clear" w:color="auto" w:fill="FFFFFF"/>
        <w:tblCellMar>
          <w:left w:w="0" w:type="dxa"/>
          <w:right w:w="0" w:type="dxa"/>
        </w:tblCellMar>
        <w:tblLook w:val="04A0" w:firstRow="1" w:lastRow="0" w:firstColumn="1" w:lastColumn="0" w:noHBand="0" w:noVBand="1"/>
      </w:tblPr>
      <w:tblGrid>
        <w:gridCol w:w="4665"/>
        <w:gridCol w:w="4770"/>
      </w:tblGrid>
      <w:tr w:rsidR="00D57180" w:rsidRPr="00D57180" w14:paraId="5087F216" w14:textId="77777777" w:rsidTr="00D57180">
        <w:trPr>
          <w:trHeight w:val="735"/>
        </w:trPr>
        <w:tc>
          <w:tcPr>
            <w:tcW w:w="9435" w:type="dxa"/>
            <w:gridSpan w:val="2"/>
            <w:tcBorders>
              <w:top w:val="single" w:sz="6" w:space="0" w:color="auto"/>
              <w:left w:val="single" w:sz="6" w:space="0" w:color="auto"/>
              <w:bottom w:val="single" w:sz="6" w:space="0" w:color="auto"/>
              <w:right w:val="single" w:sz="6" w:space="0" w:color="auto"/>
            </w:tcBorders>
            <w:shd w:val="clear" w:color="auto" w:fill="7030A0"/>
            <w:tcMar>
              <w:top w:w="0" w:type="dxa"/>
              <w:left w:w="105" w:type="dxa"/>
              <w:bottom w:w="0" w:type="dxa"/>
              <w:right w:w="105" w:type="dxa"/>
            </w:tcMar>
            <w:vAlign w:val="center"/>
            <w:hideMark/>
          </w:tcPr>
          <w:p w14:paraId="307696E7" w14:textId="77777777" w:rsidR="00D57180" w:rsidRPr="00D57180" w:rsidRDefault="00D57180" w:rsidP="00D57180">
            <w:pPr>
              <w:widowControl/>
              <w:jc w:val="center"/>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FFFFFF"/>
                <w:kern w:val="0"/>
                <w:sz w:val="29"/>
                <w:szCs w:val="29"/>
              </w:rPr>
              <w:t>辅导老师</w:t>
            </w:r>
          </w:p>
        </w:tc>
      </w:tr>
      <w:tr w:rsidR="00D57180" w:rsidRPr="00D57180" w14:paraId="023A6B4B" w14:textId="77777777" w:rsidTr="00D57180">
        <w:trPr>
          <w:trHeight w:val="1890"/>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5F0B7D"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7B48778C"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朱武祥</w:t>
            </w:r>
          </w:p>
          <w:p w14:paraId="261F3E75"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著名金融与商业模式专家，清华大学经济管理学院金融系教授，博士生导师。研究方向：公司金融与资本市场。</w:t>
            </w:r>
          </w:p>
        </w:tc>
        <w:tc>
          <w:tcPr>
            <w:tcW w:w="47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ABC714"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34010310"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宁向东</w:t>
            </w:r>
          </w:p>
          <w:p w14:paraId="25DF4A84"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清华大学经济管理学院创新创业与战略系教授、博士生导师、公司治理研究中心执行主任，研究方向：公司治理、战略管理。</w:t>
            </w:r>
          </w:p>
        </w:tc>
      </w:tr>
      <w:tr w:rsidR="00D57180" w:rsidRPr="00D57180" w14:paraId="11CAC63B" w14:textId="77777777" w:rsidTr="00D57180">
        <w:trPr>
          <w:trHeight w:val="1860"/>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32DEB6"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lastRenderedPageBreak/>
              <w:t> </w:t>
            </w:r>
          </w:p>
          <w:p w14:paraId="3896A404"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金占明</w:t>
            </w:r>
          </w:p>
          <w:p w14:paraId="061F0B44"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清华经管学院创新创业与战略系教授，博士生导师。研究方向：战略管理。</w:t>
            </w:r>
          </w:p>
        </w:tc>
        <w:tc>
          <w:tcPr>
            <w:tcW w:w="4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FFF310"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491C91F7"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周</w:t>
            </w:r>
            <w:r w:rsidRPr="00D57180">
              <w:rPr>
                <w:rFonts w:ascii="Calibri" w:eastAsia="宋体" w:hAnsi="Calibri" w:cs="Calibri"/>
                <w:b/>
                <w:bCs/>
                <w:color w:val="333333"/>
                <w:kern w:val="0"/>
                <w:szCs w:val="21"/>
              </w:rPr>
              <w:t>  </w:t>
            </w:r>
            <w:r w:rsidRPr="00D57180">
              <w:rPr>
                <w:rFonts w:ascii="宋体" w:eastAsia="宋体" w:hAnsi="宋体" w:cs="宋体" w:hint="eastAsia"/>
                <w:b/>
                <w:bCs/>
                <w:color w:val="333333"/>
                <w:kern w:val="0"/>
                <w:szCs w:val="21"/>
              </w:rPr>
              <w:t>立</w:t>
            </w:r>
          </w:p>
          <w:p w14:paraId="681892F6"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清华大学经济管理学院会计系教授，研究方向：会计学、公共政策研究</w:t>
            </w:r>
          </w:p>
        </w:tc>
      </w:tr>
      <w:tr w:rsidR="00D57180" w:rsidRPr="00D57180" w14:paraId="1DCBA39B" w14:textId="77777777" w:rsidTr="00D57180">
        <w:trPr>
          <w:trHeight w:val="1965"/>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237743"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0AA3172A"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韩秀云</w:t>
            </w:r>
          </w:p>
          <w:p w14:paraId="2DBC6739"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经济学家、清华大学经管学院经济系教授，清华大学中国经济研究中心高级研究员。研究方向：宏观经济学理论与中国经济实情的结合。</w:t>
            </w:r>
          </w:p>
        </w:tc>
        <w:tc>
          <w:tcPr>
            <w:tcW w:w="4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D0BBB1"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 </w:t>
            </w:r>
          </w:p>
          <w:p w14:paraId="75BD41CD"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吴维库</w:t>
            </w:r>
          </w:p>
          <w:p w14:paraId="789240C4"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清华大学经济管理学院领导力与组织管理系教授、博士生导师。研究方向：企业经营战略、企业内部管理及市场营销。</w:t>
            </w:r>
          </w:p>
        </w:tc>
      </w:tr>
      <w:tr w:rsidR="00D57180" w:rsidRPr="00D57180" w14:paraId="6C3264F5" w14:textId="77777777" w:rsidTr="00D57180">
        <w:trPr>
          <w:trHeight w:val="2040"/>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50234A"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房西苑</w:t>
            </w:r>
          </w:p>
          <w:p w14:paraId="25668748"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清华经管学院</w:t>
            </w:r>
            <w:r w:rsidRPr="00D57180">
              <w:rPr>
                <w:rFonts w:ascii="Calibri" w:eastAsia="宋体" w:hAnsi="Calibri" w:cs="Calibri"/>
                <w:color w:val="333333"/>
                <w:kern w:val="0"/>
                <w:szCs w:val="21"/>
              </w:rPr>
              <w:t>MBA</w:t>
            </w:r>
            <w:r w:rsidRPr="00D57180">
              <w:rPr>
                <w:rFonts w:ascii="宋体" w:eastAsia="宋体" w:hAnsi="宋体" w:cs="宋体" w:hint="eastAsia"/>
                <w:color w:val="333333"/>
                <w:kern w:val="0"/>
                <w:szCs w:val="21"/>
              </w:rPr>
              <w:t>教授，美加学员兼职教授，美国项目管理协会会员兼培训教授。辅导内容：《企业投融资战略》、《投融资案例分析》、《资本运作》《企业资本运营战略》</w:t>
            </w:r>
            <w:r w:rsidRPr="00D57180">
              <w:rPr>
                <w:rFonts w:ascii="宋体" w:eastAsia="宋体" w:hAnsi="宋体" w:cs="宋体" w:hint="eastAsia"/>
                <w:color w:val="333333"/>
                <w:kern w:val="0"/>
                <w:sz w:val="18"/>
                <w:szCs w:val="18"/>
              </w:rPr>
              <w:t>。</w:t>
            </w:r>
          </w:p>
        </w:tc>
        <w:tc>
          <w:tcPr>
            <w:tcW w:w="4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608DE0"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382FB779"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陈晋蓉</w:t>
            </w:r>
          </w:p>
          <w:p w14:paraId="199E626B"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清华大学经济管理学院教师。研究方向：公司财务管理、上市公司财务报告分析、企业资本运营。</w:t>
            </w:r>
          </w:p>
        </w:tc>
      </w:tr>
      <w:tr w:rsidR="00D57180" w:rsidRPr="00D57180" w14:paraId="258DC03C" w14:textId="77777777" w:rsidTr="00D57180">
        <w:trPr>
          <w:trHeight w:val="2040"/>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57ECC9"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1C23B682"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翟山鹰</w:t>
            </w:r>
          </w:p>
          <w:p w14:paraId="211D6AC0"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中国特色金融理论思想的资本运营实操专家，中国金融领域实战派常青树，中国金融技术流派代表人。</w:t>
            </w:r>
          </w:p>
        </w:tc>
        <w:tc>
          <w:tcPr>
            <w:tcW w:w="4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951335"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720E885B"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王晓毅</w:t>
            </w:r>
            <w:r w:rsidRPr="00D57180">
              <w:rPr>
                <w:rFonts w:ascii="宋体" w:eastAsia="宋体" w:hAnsi="宋体" w:cs="宋体" w:hint="eastAsia"/>
                <w:color w:val="333333"/>
                <w:kern w:val="0"/>
                <w:sz w:val="18"/>
                <w:szCs w:val="18"/>
              </w:rPr>
              <w:t> </w:t>
            </w:r>
          </w:p>
          <w:p w14:paraId="3291FC6D"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中国研究《人物志》第一人，清华大学教授，博士生导师。辅导内容：《企业人才的选用育留》、《中国传统文化中的管理思想》</w:t>
            </w:r>
          </w:p>
        </w:tc>
      </w:tr>
      <w:tr w:rsidR="00D57180" w:rsidRPr="00D57180" w14:paraId="65556011" w14:textId="77777777" w:rsidTr="00D57180">
        <w:trPr>
          <w:trHeight w:val="2040"/>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148115"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0FA8E0D1"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欧阳良宜</w:t>
            </w:r>
          </w:p>
          <w:p w14:paraId="5CC571C3"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北京大学汇丰商学院</w:t>
            </w:r>
            <w:r w:rsidRPr="00D57180">
              <w:rPr>
                <w:rFonts w:ascii="微软雅黑" w:eastAsia="微软雅黑" w:hAnsi="微软雅黑" w:cs="宋体" w:hint="eastAsia"/>
                <w:color w:val="333333"/>
                <w:kern w:val="0"/>
                <w:szCs w:val="21"/>
              </w:rPr>
              <w:t>金融学副教授、北京大学</w:t>
            </w:r>
            <w:r w:rsidRPr="00D57180">
              <w:rPr>
                <w:rFonts w:ascii="宋体" w:eastAsia="宋体" w:hAnsi="宋体" w:cs="宋体" w:hint="eastAsia"/>
                <w:color w:val="333333"/>
                <w:kern w:val="0"/>
                <w:sz w:val="18"/>
                <w:szCs w:val="18"/>
              </w:rPr>
              <w:t>深圳研究生院主任，香港大学金融学博士、特许金融分析师。</w:t>
            </w:r>
          </w:p>
        </w:tc>
        <w:tc>
          <w:tcPr>
            <w:tcW w:w="4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AA3CC1"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袁  冰</w:t>
            </w:r>
          </w:p>
          <w:p w14:paraId="26E975B5"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A</w:t>
            </w:r>
            <w:r w:rsidRPr="00D57180">
              <w:rPr>
                <w:rFonts w:ascii="宋体" w:eastAsia="宋体" w:hAnsi="宋体" w:cs="宋体" w:hint="eastAsia"/>
                <w:color w:val="333333"/>
                <w:kern w:val="0"/>
                <w:szCs w:val="21"/>
              </w:rPr>
              <w:t>股直通车创始合伙人，中汇支付高级副总裁，中国互联网金融行业促进会（</w:t>
            </w:r>
            <w:r w:rsidRPr="00D57180">
              <w:rPr>
                <w:rFonts w:ascii="Calibri" w:eastAsia="宋体" w:hAnsi="Calibri" w:cs="Calibri"/>
                <w:color w:val="333333"/>
                <w:kern w:val="0"/>
                <w:szCs w:val="21"/>
              </w:rPr>
              <w:t>CIFIPA</w:t>
            </w:r>
            <w:r w:rsidRPr="00D57180">
              <w:rPr>
                <w:rFonts w:ascii="宋体" w:eastAsia="宋体" w:hAnsi="宋体" w:cs="宋体" w:hint="eastAsia"/>
                <w:color w:val="333333"/>
                <w:kern w:val="0"/>
                <w:szCs w:val="21"/>
              </w:rPr>
              <w:t>）副会长</w:t>
            </w:r>
            <w:r w:rsidRPr="00D57180">
              <w:rPr>
                <w:rFonts w:ascii="Calibri" w:eastAsia="宋体" w:hAnsi="Calibri" w:cs="Calibri"/>
                <w:color w:val="333333"/>
                <w:kern w:val="0"/>
                <w:szCs w:val="21"/>
              </w:rPr>
              <w:t>;</w:t>
            </w:r>
            <w:r w:rsidRPr="00D57180">
              <w:rPr>
                <w:rFonts w:ascii="宋体" w:eastAsia="宋体" w:hAnsi="宋体" w:cs="宋体" w:hint="eastAsia"/>
                <w:color w:val="333333"/>
                <w:kern w:val="0"/>
                <w:szCs w:val="21"/>
              </w:rPr>
              <w:t>资深互联网及互联网金融专家，天使投资人，北大互联网金融课题组常务主任。</w:t>
            </w:r>
          </w:p>
        </w:tc>
      </w:tr>
      <w:tr w:rsidR="00D57180" w:rsidRPr="00D57180" w14:paraId="086DDC42" w14:textId="77777777" w:rsidTr="00D57180">
        <w:trPr>
          <w:trHeight w:val="90"/>
        </w:trPr>
        <w:tc>
          <w:tcPr>
            <w:tcW w:w="4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5358AD"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737D98EC"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邹广文</w:t>
            </w:r>
          </w:p>
          <w:p w14:paraId="346078CA"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企业文化专家、清华大学人文学院教授，国家</w:t>
            </w:r>
            <w:r w:rsidRPr="00D57180">
              <w:rPr>
                <w:rFonts w:ascii="Calibri" w:eastAsia="宋体" w:hAnsi="Calibri" w:cs="Calibri"/>
                <w:color w:val="333333"/>
                <w:kern w:val="0"/>
                <w:szCs w:val="21"/>
              </w:rPr>
              <w:t>"</w:t>
            </w:r>
            <w:r w:rsidRPr="00D57180">
              <w:rPr>
                <w:rFonts w:ascii="宋体" w:eastAsia="宋体" w:hAnsi="宋体" w:cs="宋体" w:hint="eastAsia"/>
                <w:color w:val="333333"/>
                <w:kern w:val="0"/>
                <w:szCs w:val="21"/>
              </w:rPr>
              <w:t>万人计划</w:t>
            </w:r>
            <w:r w:rsidRPr="00D57180">
              <w:rPr>
                <w:rFonts w:ascii="Calibri" w:eastAsia="宋体" w:hAnsi="Calibri" w:cs="Calibri"/>
                <w:color w:val="333333"/>
                <w:kern w:val="0"/>
                <w:szCs w:val="21"/>
              </w:rPr>
              <w:t>"</w:t>
            </w:r>
            <w:r w:rsidRPr="00D57180">
              <w:rPr>
                <w:rFonts w:ascii="宋体" w:eastAsia="宋体" w:hAnsi="宋体" w:cs="宋体" w:hint="eastAsia"/>
                <w:color w:val="333333"/>
                <w:kern w:val="0"/>
                <w:szCs w:val="21"/>
              </w:rPr>
              <w:t>哲学社会科学领军人才。</w:t>
            </w:r>
          </w:p>
          <w:p w14:paraId="7406BC50"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Cs w:val="21"/>
              </w:rPr>
              <w:t> </w:t>
            </w:r>
          </w:p>
        </w:tc>
        <w:tc>
          <w:tcPr>
            <w:tcW w:w="47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734E96"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 </w:t>
            </w:r>
          </w:p>
          <w:p w14:paraId="7F9A9E57"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b/>
                <w:bCs/>
                <w:color w:val="333333"/>
                <w:kern w:val="0"/>
                <w:sz w:val="18"/>
                <w:szCs w:val="18"/>
              </w:rPr>
              <w:t>江 英</w:t>
            </w:r>
          </w:p>
          <w:p w14:paraId="69B9653E" w14:textId="77777777" w:rsidR="00D57180" w:rsidRPr="00D57180" w:rsidRDefault="00D57180" w:rsidP="00D57180">
            <w:pPr>
              <w:widowControl/>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18"/>
                <w:szCs w:val="18"/>
              </w:rPr>
              <w:t>中国军事科学院研究员，博士生导师，正师职，大校军衔。中央党校国际战略研究中心特邀研究员。</w:t>
            </w:r>
          </w:p>
        </w:tc>
      </w:tr>
    </w:tbl>
    <w:p w14:paraId="79A7968E" w14:textId="77777777" w:rsidR="00D57180" w:rsidRPr="00D57180" w:rsidRDefault="00D57180" w:rsidP="00D57180">
      <w:pPr>
        <w:widowControl/>
        <w:shd w:val="clear" w:color="auto" w:fill="FFFFFF"/>
        <w:spacing w:line="315" w:lineRule="atLeast"/>
        <w:ind w:firstLine="480"/>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 w:val="24"/>
        </w:rPr>
        <w:t> </w:t>
      </w:r>
    </w:p>
    <w:p w14:paraId="2D47C9D6" w14:textId="77777777" w:rsidR="00D57180" w:rsidRPr="00D57180" w:rsidRDefault="00D57180" w:rsidP="00D57180">
      <w:pPr>
        <w:widowControl/>
        <w:shd w:val="clear" w:color="auto" w:fill="FFFFFF"/>
        <w:spacing w:line="480" w:lineRule="atLeast"/>
        <w:ind w:firstLine="48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自</w:t>
      </w:r>
      <w:r w:rsidRPr="00D57180">
        <w:rPr>
          <w:rFonts w:ascii="华文细黑" w:eastAsia="华文细黑" w:hAnsi="华文细黑" w:cs="宋体" w:hint="eastAsia"/>
          <w:color w:val="333333"/>
          <w:kern w:val="0"/>
          <w:sz w:val="24"/>
        </w:rPr>
        <w:t>2006年举办至今，3000名学员企业已经覆盖了34大行业，216个产业类型。制造业企业占比30%，建筑/房地产行业企业占比25%，金融及投融资</w:t>
      </w:r>
      <w:r w:rsidRPr="00D57180">
        <w:rPr>
          <w:rFonts w:ascii="华文细黑" w:eastAsia="华文细黑" w:hAnsi="华文细黑" w:cs="宋体" w:hint="eastAsia"/>
          <w:color w:val="333333"/>
          <w:kern w:val="0"/>
          <w:sz w:val="24"/>
        </w:rPr>
        <w:lastRenderedPageBreak/>
        <w:t>行业企业占比18%。平均年龄39岁，平工作经验10年，平均管理经验8年，高层管理人员比例超过95%。</w:t>
      </w:r>
    </w:p>
    <w:p w14:paraId="3616E126"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【创新品牌校友】</w:t>
      </w:r>
    </w:p>
    <w:p w14:paraId="26C83072" w14:textId="77777777" w:rsidR="00D57180" w:rsidRPr="00D57180" w:rsidRDefault="00D57180" w:rsidP="00D57180">
      <w:pPr>
        <w:widowControl/>
        <w:shd w:val="clear" w:color="auto" w:fill="FFFFFF"/>
        <w:spacing w:line="315" w:lineRule="atLeast"/>
        <w:ind w:firstLine="480"/>
        <w:jc w:val="left"/>
        <w:rPr>
          <w:rFonts w:ascii="微软雅黑" w:eastAsia="微软雅黑" w:hAnsi="微软雅黑" w:cs="宋体" w:hint="eastAsia"/>
          <w:color w:val="333333"/>
          <w:kern w:val="0"/>
          <w:szCs w:val="21"/>
        </w:rPr>
      </w:pPr>
      <w:r w:rsidRPr="00D57180">
        <w:rPr>
          <w:rFonts w:ascii="宋体" w:eastAsia="宋体" w:hAnsi="宋体" w:cs="宋体" w:hint="eastAsia"/>
          <w:color w:val="333333"/>
          <w:kern w:val="0"/>
          <w:szCs w:val="21"/>
        </w:rPr>
        <w:t>自</w:t>
      </w:r>
      <w:r w:rsidRPr="00D57180">
        <w:rPr>
          <w:rFonts w:ascii="宋体" w:eastAsia="宋体" w:hAnsi="宋体" w:cs="宋体" w:hint="eastAsia"/>
          <w:color w:val="333333"/>
          <w:kern w:val="0"/>
          <w:sz w:val="24"/>
        </w:rPr>
        <w:t>2006</w:t>
      </w:r>
      <w:r w:rsidRPr="00D57180">
        <w:rPr>
          <w:rFonts w:ascii="宋体" w:eastAsia="宋体" w:hAnsi="宋体" w:cs="宋体" w:hint="eastAsia"/>
          <w:color w:val="333333"/>
          <w:kern w:val="0"/>
          <w:szCs w:val="21"/>
        </w:rPr>
        <w:t>年举办至今，</w:t>
      </w:r>
      <w:r w:rsidRPr="00D57180">
        <w:rPr>
          <w:rFonts w:ascii="Calibri" w:eastAsia="宋体" w:hAnsi="Calibri" w:cs="Calibri"/>
          <w:color w:val="333333"/>
          <w:kern w:val="0"/>
          <w:szCs w:val="21"/>
        </w:rPr>
        <w:t>3000</w:t>
      </w:r>
      <w:r w:rsidRPr="00D57180">
        <w:rPr>
          <w:rFonts w:ascii="宋体" w:eastAsia="宋体" w:hAnsi="宋体" w:cs="宋体" w:hint="eastAsia"/>
          <w:color w:val="333333"/>
          <w:kern w:val="0"/>
          <w:szCs w:val="21"/>
        </w:rPr>
        <w:t>名学员企业已经覆盖了</w:t>
      </w:r>
      <w:r w:rsidRPr="00D57180">
        <w:rPr>
          <w:rFonts w:ascii="Calibri" w:eastAsia="微软雅黑" w:hAnsi="Calibri" w:cs="Calibri"/>
          <w:color w:val="333333"/>
          <w:kern w:val="0"/>
          <w:sz w:val="24"/>
        </w:rPr>
        <w:t>34</w:t>
      </w:r>
      <w:r w:rsidRPr="00D57180">
        <w:rPr>
          <w:rFonts w:ascii="宋体" w:eastAsia="宋体" w:hAnsi="宋体" w:cs="宋体" w:hint="eastAsia"/>
          <w:color w:val="333333"/>
          <w:kern w:val="0"/>
          <w:szCs w:val="21"/>
        </w:rPr>
        <w:t>大行业，</w:t>
      </w:r>
      <w:r w:rsidRPr="00D57180">
        <w:rPr>
          <w:rFonts w:ascii="Calibri" w:eastAsia="微软雅黑" w:hAnsi="Calibri" w:cs="Calibri"/>
          <w:color w:val="333333"/>
          <w:kern w:val="0"/>
          <w:sz w:val="24"/>
        </w:rPr>
        <w:t>216</w:t>
      </w:r>
      <w:r w:rsidRPr="00D57180">
        <w:rPr>
          <w:rFonts w:ascii="宋体" w:eastAsia="宋体" w:hAnsi="宋体" w:cs="宋体" w:hint="eastAsia"/>
          <w:color w:val="333333"/>
          <w:kern w:val="0"/>
          <w:szCs w:val="21"/>
        </w:rPr>
        <w:t>个产业类型。制造业企业占比</w:t>
      </w:r>
      <w:r w:rsidRPr="00D57180">
        <w:rPr>
          <w:rFonts w:ascii="Calibri" w:eastAsia="微软雅黑" w:hAnsi="Calibri" w:cs="Calibri"/>
          <w:color w:val="333333"/>
          <w:kern w:val="0"/>
          <w:sz w:val="24"/>
        </w:rPr>
        <w:t>30%</w:t>
      </w:r>
      <w:r w:rsidRPr="00D57180">
        <w:rPr>
          <w:rFonts w:ascii="宋体" w:eastAsia="宋体" w:hAnsi="宋体" w:cs="宋体" w:hint="eastAsia"/>
          <w:color w:val="333333"/>
          <w:kern w:val="0"/>
          <w:szCs w:val="21"/>
        </w:rPr>
        <w:t>，建筑</w:t>
      </w:r>
      <w:r w:rsidRPr="00D57180">
        <w:rPr>
          <w:rFonts w:ascii="Calibri" w:eastAsia="微软雅黑" w:hAnsi="Calibri" w:cs="Calibri"/>
          <w:color w:val="333333"/>
          <w:kern w:val="0"/>
          <w:sz w:val="24"/>
        </w:rPr>
        <w:t>/</w:t>
      </w:r>
      <w:r w:rsidRPr="00D57180">
        <w:rPr>
          <w:rFonts w:ascii="宋体" w:eastAsia="宋体" w:hAnsi="宋体" w:cs="宋体" w:hint="eastAsia"/>
          <w:color w:val="333333"/>
          <w:kern w:val="0"/>
          <w:szCs w:val="21"/>
        </w:rPr>
        <w:t>房地产行业企业占比</w:t>
      </w:r>
      <w:r w:rsidRPr="00D57180">
        <w:rPr>
          <w:rFonts w:ascii="宋体" w:eastAsia="宋体" w:hAnsi="宋体" w:cs="宋体" w:hint="eastAsia"/>
          <w:color w:val="333333"/>
          <w:kern w:val="0"/>
          <w:sz w:val="24"/>
        </w:rPr>
        <w:t>25</w:t>
      </w:r>
      <w:r w:rsidRPr="00D57180">
        <w:rPr>
          <w:rFonts w:ascii="Calibri" w:eastAsia="微软雅黑" w:hAnsi="Calibri" w:cs="Calibri"/>
          <w:color w:val="333333"/>
          <w:kern w:val="0"/>
          <w:sz w:val="24"/>
        </w:rPr>
        <w:t>%</w:t>
      </w:r>
      <w:r w:rsidRPr="00D57180">
        <w:rPr>
          <w:rFonts w:ascii="宋体" w:eastAsia="宋体" w:hAnsi="宋体" w:cs="宋体" w:hint="eastAsia"/>
          <w:color w:val="333333"/>
          <w:kern w:val="0"/>
          <w:szCs w:val="21"/>
        </w:rPr>
        <w:t>，金融及投融资行业企业占比</w:t>
      </w:r>
      <w:r w:rsidRPr="00D57180">
        <w:rPr>
          <w:rFonts w:ascii="Calibri" w:eastAsia="微软雅黑" w:hAnsi="Calibri" w:cs="Calibri"/>
          <w:color w:val="333333"/>
          <w:kern w:val="0"/>
          <w:sz w:val="24"/>
        </w:rPr>
        <w:t>1</w:t>
      </w:r>
      <w:r w:rsidRPr="00D57180">
        <w:rPr>
          <w:rFonts w:ascii="宋体" w:eastAsia="宋体" w:hAnsi="宋体" w:cs="宋体" w:hint="eastAsia"/>
          <w:color w:val="333333"/>
          <w:kern w:val="0"/>
          <w:sz w:val="24"/>
        </w:rPr>
        <w:t>8</w:t>
      </w:r>
      <w:r w:rsidRPr="00D57180">
        <w:rPr>
          <w:rFonts w:ascii="Calibri" w:eastAsia="微软雅黑" w:hAnsi="Calibri" w:cs="Calibri"/>
          <w:color w:val="333333"/>
          <w:kern w:val="0"/>
          <w:sz w:val="24"/>
        </w:rPr>
        <w:t>%</w:t>
      </w:r>
      <w:r w:rsidRPr="00D57180">
        <w:rPr>
          <w:rFonts w:ascii="宋体" w:eastAsia="宋体" w:hAnsi="宋体" w:cs="宋体" w:hint="eastAsia"/>
          <w:color w:val="333333"/>
          <w:kern w:val="0"/>
          <w:szCs w:val="21"/>
        </w:rPr>
        <w:t>。平均年龄</w:t>
      </w:r>
      <w:r w:rsidRPr="00D57180">
        <w:rPr>
          <w:rFonts w:ascii="宋体" w:eastAsia="宋体" w:hAnsi="宋体" w:cs="宋体" w:hint="eastAsia"/>
          <w:color w:val="333333"/>
          <w:kern w:val="0"/>
          <w:sz w:val="24"/>
        </w:rPr>
        <w:t>39</w:t>
      </w:r>
      <w:r w:rsidRPr="00D57180">
        <w:rPr>
          <w:rFonts w:ascii="宋体" w:eastAsia="宋体" w:hAnsi="宋体" w:cs="宋体" w:hint="eastAsia"/>
          <w:color w:val="333333"/>
          <w:kern w:val="0"/>
          <w:szCs w:val="21"/>
        </w:rPr>
        <w:t>岁，平均工作经验</w:t>
      </w:r>
      <w:r w:rsidRPr="00D57180">
        <w:rPr>
          <w:rFonts w:ascii="Calibri" w:eastAsia="微软雅黑" w:hAnsi="Calibri" w:cs="Calibri"/>
          <w:color w:val="333333"/>
          <w:kern w:val="0"/>
          <w:sz w:val="24"/>
        </w:rPr>
        <w:t>1</w:t>
      </w:r>
      <w:r w:rsidRPr="00D57180">
        <w:rPr>
          <w:rFonts w:ascii="宋体" w:eastAsia="宋体" w:hAnsi="宋体" w:cs="宋体" w:hint="eastAsia"/>
          <w:color w:val="333333"/>
          <w:kern w:val="0"/>
          <w:sz w:val="24"/>
        </w:rPr>
        <w:t>0</w:t>
      </w:r>
      <w:r w:rsidRPr="00D57180">
        <w:rPr>
          <w:rFonts w:ascii="宋体" w:eastAsia="宋体" w:hAnsi="宋体" w:cs="宋体" w:hint="eastAsia"/>
          <w:color w:val="333333"/>
          <w:kern w:val="0"/>
          <w:szCs w:val="21"/>
        </w:rPr>
        <w:t>年，平均管理经验</w:t>
      </w:r>
      <w:r w:rsidRPr="00D57180">
        <w:rPr>
          <w:rFonts w:ascii="Calibri" w:eastAsia="宋体" w:hAnsi="Calibri" w:cs="Calibri"/>
          <w:color w:val="333333"/>
          <w:kern w:val="0"/>
          <w:szCs w:val="21"/>
        </w:rPr>
        <w:t>8</w:t>
      </w:r>
      <w:r w:rsidRPr="00D57180">
        <w:rPr>
          <w:rFonts w:ascii="宋体" w:eastAsia="宋体" w:hAnsi="宋体" w:cs="宋体" w:hint="eastAsia"/>
          <w:color w:val="333333"/>
          <w:kern w:val="0"/>
          <w:szCs w:val="21"/>
        </w:rPr>
        <w:t>年，高层管理人员比例超过</w:t>
      </w:r>
      <w:r w:rsidRPr="00D57180">
        <w:rPr>
          <w:rFonts w:ascii="Calibri" w:eastAsia="微软雅黑" w:hAnsi="Calibri" w:cs="Calibri"/>
          <w:color w:val="333333"/>
          <w:kern w:val="0"/>
          <w:sz w:val="24"/>
        </w:rPr>
        <w:t>95%</w:t>
      </w:r>
      <w:r w:rsidRPr="00D57180">
        <w:rPr>
          <w:rFonts w:ascii="宋体" w:eastAsia="宋体" w:hAnsi="宋体" w:cs="宋体" w:hint="eastAsia"/>
          <w:color w:val="333333"/>
          <w:kern w:val="0"/>
          <w:szCs w:val="21"/>
        </w:rPr>
        <w:t>。</w:t>
      </w:r>
    </w:p>
    <w:p w14:paraId="68F73D62" w14:textId="77777777" w:rsidR="00D57180" w:rsidRPr="00D57180" w:rsidRDefault="00D57180" w:rsidP="00D57180">
      <w:pPr>
        <w:widowControl/>
        <w:shd w:val="clear" w:color="auto" w:fill="FFFFFF"/>
        <w:spacing w:line="315" w:lineRule="atLeas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 w:val="29"/>
          <w:szCs w:val="29"/>
        </w:rPr>
        <w:t> </w:t>
      </w:r>
    </w:p>
    <w:p w14:paraId="6FFACCBD"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【学习收获】</w:t>
      </w:r>
    </w:p>
    <w:p w14:paraId="038D5D55"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解决问题：解决企业发展问题，辅翼企业健康稳定可持续发展。</w:t>
      </w:r>
    </w:p>
    <w:p w14:paraId="6142444B"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缔结信任：汇聚信任优秀企业，结合各自优势实现多样化合作。</w:t>
      </w:r>
    </w:p>
    <w:p w14:paraId="4642D6D9"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合作共赢：打造优秀精英平台，实现汇仁汇智汇商合作资源库。</w:t>
      </w:r>
    </w:p>
    <w:p w14:paraId="0D39285D"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智库支持：清华最优产研教授，实战投资专家产业资本投融资。</w:t>
      </w:r>
    </w:p>
    <w:p w14:paraId="64CE2FFB"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产业支持：清控产业资本对接，汇集健康医疗及并购基金产业。</w:t>
      </w:r>
    </w:p>
    <w:p w14:paraId="551392DD"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【招生对象】</w:t>
      </w:r>
    </w:p>
    <w:p w14:paraId="6AF60A97"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企业董事长、</w:t>
      </w:r>
      <w:r w:rsidRPr="00D57180">
        <w:rPr>
          <w:rFonts w:ascii="华文细黑" w:eastAsia="华文细黑" w:hAnsi="华文细黑" w:cs="宋体" w:hint="eastAsia"/>
          <w:color w:val="333333"/>
          <w:kern w:val="0"/>
          <w:sz w:val="24"/>
        </w:rPr>
        <w:t>CEO、总经理等企业高管；银行、证券等金融机构的决策者及高级管理者； 上市公司和拟上市公司的高层管理者； 控股公司/集团公司高层管理人员； 各类从事实业、股权投资或投资管理的专业人士和高层管理者。</w:t>
      </w:r>
    </w:p>
    <w:p w14:paraId="7C0128AE"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【学习安排】</w:t>
      </w:r>
    </w:p>
    <w:p w14:paraId="538295B8"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学制一年半，每两个月集中授课</w:t>
      </w:r>
      <w:r w:rsidRPr="00D57180">
        <w:rPr>
          <w:rFonts w:ascii="华文细黑" w:eastAsia="华文细黑" w:hAnsi="华文细黑" w:cs="宋体" w:hint="eastAsia"/>
          <w:color w:val="333333"/>
          <w:kern w:val="0"/>
          <w:sz w:val="24"/>
        </w:rPr>
        <w:t>2-3</w:t>
      </w:r>
      <w:r w:rsidRPr="00D57180">
        <w:rPr>
          <w:rFonts w:ascii="华文细黑" w:eastAsia="华文细黑" w:hAnsi="华文细黑" w:cs="宋体" w:hint="eastAsia"/>
          <w:color w:val="333333"/>
          <w:kern w:val="0"/>
          <w:szCs w:val="21"/>
        </w:rPr>
        <w:t>天，共计</w:t>
      </w:r>
      <w:r w:rsidRPr="00D57180">
        <w:rPr>
          <w:rFonts w:ascii="华文细黑" w:eastAsia="华文细黑" w:hAnsi="华文细黑" w:cs="宋体" w:hint="eastAsia"/>
          <w:color w:val="333333"/>
          <w:kern w:val="0"/>
          <w:sz w:val="24"/>
        </w:rPr>
        <w:t>9</w:t>
      </w:r>
      <w:r w:rsidRPr="00D57180">
        <w:rPr>
          <w:rFonts w:ascii="华文细黑" w:eastAsia="华文细黑" w:hAnsi="华文细黑" w:cs="宋体" w:hint="eastAsia"/>
          <w:color w:val="333333"/>
          <w:kern w:val="0"/>
          <w:szCs w:val="21"/>
        </w:rPr>
        <w:t>次</w:t>
      </w:r>
      <w:r w:rsidRPr="00D57180">
        <w:rPr>
          <w:rFonts w:ascii="华文细黑" w:eastAsia="华文细黑" w:hAnsi="华文细黑" w:cs="宋体" w:hint="eastAsia"/>
          <w:color w:val="333333"/>
          <w:kern w:val="0"/>
          <w:sz w:val="24"/>
        </w:rPr>
        <w:t>24天，</w:t>
      </w:r>
      <w:r w:rsidRPr="00D57180">
        <w:rPr>
          <w:rFonts w:ascii="华文细黑" w:eastAsia="华文细黑" w:hAnsi="华文细黑" w:cs="宋体" w:hint="eastAsia"/>
          <w:color w:val="333333"/>
          <w:kern w:val="0"/>
          <w:szCs w:val="21"/>
        </w:rPr>
        <w:t>课程包含一次考察，一次论坛，结业后可免费复训。</w:t>
      </w:r>
    </w:p>
    <w:p w14:paraId="53B68D15" w14:textId="77777777"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微软雅黑" w:eastAsia="微软雅黑" w:hAnsi="微软雅黑" w:cs="宋体" w:hint="eastAsia"/>
          <w:b/>
          <w:bCs/>
          <w:color w:val="552579"/>
          <w:kern w:val="0"/>
          <w:szCs w:val="21"/>
        </w:rPr>
        <w:t>【学习费用】</w:t>
      </w:r>
    </w:p>
    <w:p w14:paraId="1D4F4548" w14:textId="2AE8DEB2" w:rsidR="00D57180" w:rsidRPr="00D57180" w:rsidRDefault="00D57180" w:rsidP="00D57180">
      <w:pPr>
        <w:widowControl/>
        <w:shd w:val="clear" w:color="auto" w:fill="FFFFFF"/>
        <w:spacing w:line="480" w:lineRule="atLeast"/>
        <w:ind w:firstLineChars="200" w:firstLine="420"/>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color w:val="333333"/>
          <w:kern w:val="0"/>
          <w:szCs w:val="21"/>
        </w:rPr>
        <w:t>元</w:t>
      </w:r>
      <w:r w:rsidRPr="00D57180">
        <w:rPr>
          <w:rFonts w:ascii="华文细黑" w:eastAsia="华文细黑" w:hAnsi="华文细黑" w:cs="宋体" w:hint="eastAsia"/>
          <w:color w:val="333333"/>
          <w:kern w:val="0"/>
          <w:sz w:val="24"/>
        </w:rPr>
        <w:t>/人（含一年</w:t>
      </w:r>
      <w:r w:rsidRPr="00D57180">
        <w:rPr>
          <w:rFonts w:ascii="华文细黑" w:eastAsia="华文细黑" w:hAnsi="华文细黑" w:cs="宋体" w:hint="eastAsia"/>
          <w:color w:val="333333"/>
          <w:kern w:val="0"/>
          <w:szCs w:val="21"/>
        </w:rPr>
        <w:t>半的教学、教材、资料，食宿交通费用自理）</w:t>
      </w:r>
    </w:p>
    <w:p w14:paraId="375D4C51" w14:textId="4EA1A94D" w:rsidR="00D57180" w:rsidRPr="00D57180" w:rsidRDefault="00D57180" w:rsidP="00D57180">
      <w:pPr>
        <w:widowControl/>
        <w:shd w:val="clear" w:color="auto" w:fill="FFFFFF"/>
        <w:spacing w:line="480" w:lineRule="atLeast"/>
        <w:jc w:val="left"/>
        <w:rPr>
          <w:rFonts w:ascii="微软雅黑" w:eastAsia="微软雅黑" w:hAnsi="微软雅黑" w:cs="宋体" w:hint="eastAsia"/>
          <w:color w:val="333333"/>
          <w:kern w:val="0"/>
          <w:szCs w:val="21"/>
        </w:rPr>
      </w:pPr>
      <w:r w:rsidRPr="00D57180">
        <w:rPr>
          <w:rFonts w:ascii="华文细黑" w:eastAsia="华文细黑" w:hAnsi="华文细黑" w:cs="宋体" w:hint="eastAsia"/>
          <w:b/>
          <w:bCs/>
          <w:color w:val="333333"/>
          <w:kern w:val="0"/>
          <w:szCs w:val="21"/>
        </w:rPr>
        <w:t>收费方式：</w:t>
      </w:r>
      <w:r w:rsidRPr="00D57180">
        <w:rPr>
          <w:rFonts w:ascii="华文细黑" w:eastAsia="华文细黑" w:hAnsi="华文细黑" w:cs="宋体" w:hint="eastAsia"/>
          <w:color w:val="333333"/>
          <w:kern w:val="0"/>
          <w:szCs w:val="21"/>
        </w:rPr>
        <w:t>入学前由优清商学院财务部统一收取，学费到帐后统一开具发票</w:t>
      </w:r>
    </w:p>
    <w:sectPr w:rsidR="00D57180" w:rsidRPr="00D5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大黑简体">
    <w:panose1 w:val="02010601030101010101"/>
    <w:charset w:val="86"/>
    <w:family w:val="auto"/>
    <w:pitch w:val="variable"/>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80"/>
    <w:rsid w:val="000236F4"/>
    <w:rsid w:val="001F610F"/>
    <w:rsid w:val="007A1CAD"/>
    <w:rsid w:val="00B672A9"/>
    <w:rsid w:val="00D5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E305B6"/>
  <w15:chartTrackingRefBased/>
  <w15:docId w15:val="{C8749166-0489-314B-904B-A0082BB4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18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57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2022-11-07T07:58:00Z</dcterms:created>
  <dcterms:modified xsi:type="dcterms:W3CDTF">2022-11-07T07:58:00Z</dcterms:modified>
</cp:coreProperties>
</file>