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3487" w14:textId="7E220F16" w:rsidR="007A1CAD" w:rsidRDefault="00875725">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金融与投资（私募、基金）研修班</w:t>
      </w:r>
    </w:p>
    <w:p w14:paraId="13F18ECA" w14:textId="77777777" w:rsidR="00875725" w:rsidRPr="00875725" w:rsidRDefault="00875725" w:rsidP="00875725">
      <w:pPr>
        <w:widowControl/>
        <w:shd w:val="clear" w:color="auto" w:fill="FFFFFF"/>
        <w:spacing w:after="120"/>
        <w:jc w:val="center"/>
        <w:rPr>
          <w:rFonts w:ascii="微软雅黑" w:eastAsia="微软雅黑" w:hAnsi="微软雅黑" w:cs="宋体"/>
          <w:color w:val="333333"/>
          <w:kern w:val="0"/>
          <w:szCs w:val="21"/>
        </w:rPr>
      </w:pPr>
      <w:r w:rsidRPr="00875725">
        <w:rPr>
          <w:rFonts w:ascii="微软雅黑" w:eastAsia="微软雅黑" w:hAnsi="微软雅黑" w:cs="宋体" w:hint="eastAsia"/>
          <w:b/>
          <w:bCs/>
          <w:color w:val="333333"/>
          <w:kern w:val="0"/>
          <w:sz w:val="36"/>
          <w:szCs w:val="36"/>
        </w:rPr>
        <w:t>金融与投资（私募、基金）研修班</w:t>
      </w:r>
    </w:p>
    <w:p w14:paraId="34FFA364"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【教育单位】</w:t>
      </w:r>
    </w:p>
    <w:p w14:paraId="4E2BFC28"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北京大学是教育部直属的国家重点大学，是国家“211工程”重点建设院校。北京大学经济学院是北京大学历史最悠久的院系之一，也是中国高等院校中最早建立的专门的经济系科。</w:t>
      </w:r>
    </w:p>
    <w:p w14:paraId="087579A7"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1898年，北京大学的前身京师大学堂成立时就有经济学课程。1912年，京师大学堂改名国立北京大学，严复先生是首任校长，始建经济学门（系）。无论是马克思主义经济学的传播与研究，还是西方经济学的引进，北京大学经济学院（系）在国内都是最早的。1901年，严复先生翻译《国富论》，标志着西方经济学在中国的正式传播的开始。李大钊教授在国内最早系统介绍马克思主义。1931年，陈启修教授开始翻译《资本论》。</w:t>
      </w:r>
    </w:p>
    <w:p w14:paraId="1DC8BD75"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北京大学经济学院百余年的历史中，涌现出很多在学界享有崇高声誉、学养深厚，影响深远的大师级人物，可谓“大师如林，贡献卓著”。如李大钊、马寅初、赵迺抟、陈岱孙、樊弘、陈振汉、熊正文、杜度、赵靖等。数代学者为我国经济科学的发展做出了卓越的贡献。</w:t>
      </w:r>
    </w:p>
    <w:p w14:paraId="3918F76A"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北京大学经济学院是国家教育部确定的“国家经济学基础人才培养基地”和“全国人才培养模式创新实验区”。其悠久的历史、深厚的学术底蕴、重要的学术地位、不断创新的人才培养模式，吸引着来自全国乃至世界各地的优秀学子。</w:t>
      </w:r>
    </w:p>
    <w:p w14:paraId="0DD8630B"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【研修背景】</w:t>
      </w:r>
    </w:p>
    <w:p w14:paraId="415C660D"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lastRenderedPageBreak/>
        <w:t>    </w:t>
      </w:r>
      <w:r w:rsidRPr="00875725">
        <w:rPr>
          <w:rFonts w:ascii="华文仿宋" w:eastAsia="华文仿宋" w:hAnsi="华文仿宋" w:cs="宋体" w:hint="eastAsia"/>
          <w:color w:val="333333"/>
          <w:kern w:val="0"/>
          <w:sz w:val="24"/>
        </w:rPr>
        <w:t>当前，中国金融政策及热点问题越来越受到广泛关注，国内、国际金融市场高度关联并互相产生深远影响。“北京大学金融与投资（私募、基金）研修班”将引领未来金融家、投资家顺应世界多极化、经济全球化、文化多样化、社会信息化的潮流，突破同类课程仅限于“术”层面进行讲解所导致的同质性，以前沿的课程内容，多层次、多维度的延展决策者的视野，以全局的胸怀，世界的眼光，把握金融政策动向，追踪前沿热点问题，发现投资价值。</w:t>
      </w:r>
    </w:p>
    <w:p w14:paraId="10C3DE63"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无论您处在哪一个行业，无论您的企业是大是小，都面临着如何利用资本市场实现持续发展和快速增值的问题，“北京大学金融与投资（私募、基金）研修班”将以全新的理念，帮您探究突破瓶颈的有效路径。可以让您明确方向，发现投资价值，掌握投资成功之道，确立领先地位，并有效地达到目标，保持持续的赢利能力。如果您还在菜鸟群中艰难地跋涉，对未来感到迷惘，在这里，我们将与您共同探索新金融时代投资的全新理念，破除传统的迷思，破解最卓越者的成功基因，把握新制胜的法则，共同开创高回报的实战课程。</w:t>
      </w:r>
    </w:p>
    <w:p w14:paraId="45373164"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【研修目的】</w:t>
      </w:r>
    </w:p>
    <w:p w14:paraId="716E905C"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“北京大学金融与投资（私募、基金）研修班”主要以北京大学校内外的优秀教师和知名学者为主讲师资，采用老师讲授、实战分析、案例研讨相结合的方式教学，旨在：</w:t>
      </w:r>
    </w:p>
    <w:p w14:paraId="39A4FAC1"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Wingdings" w:eastAsia="微软雅黑" w:hAnsi="Wingdings" w:cs="宋体"/>
          <w:color w:val="333333"/>
          <w:kern w:val="0"/>
          <w:sz w:val="24"/>
        </w:rPr>
        <w:t>u </w:t>
      </w:r>
      <w:r w:rsidRPr="00875725">
        <w:rPr>
          <w:rFonts w:ascii="华文仿宋" w:eastAsia="华文仿宋" w:hAnsi="华文仿宋" w:cs="宋体" w:hint="eastAsia"/>
          <w:color w:val="333333"/>
          <w:kern w:val="0"/>
          <w:sz w:val="24"/>
        </w:rPr>
        <w:t>洞悉全球金融市场脉络，洞悉金融体制改革与经济增长方式转变，在经济转型中充电，提升领导决策力，发现价值与套利机会，推动企业转型升级和跨越发展；</w:t>
      </w:r>
    </w:p>
    <w:p w14:paraId="09349628" w14:textId="77777777" w:rsidR="00875725" w:rsidRPr="00875725" w:rsidRDefault="00875725" w:rsidP="00875725">
      <w:pPr>
        <w:widowControl/>
        <w:shd w:val="clear" w:color="auto" w:fill="FFFFFF"/>
        <w:spacing w:after="120"/>
        <w:ind w:left="735"/>
        <w:jc w:val="left"/>
        <w:rPr>
          <w:rFonts w:ascii="微软雅黑" w:eastAsia="微软雅黑" w:hAnsi="微软雅黑" w:cs="宋体" w:hint="eastAsia"/>
          <w:color w:val="333333"/>
          <w:kern w:val="0"/>
          <w:szCs w:val="21"/>
        </w:rPr>
      </w:pPr>
      <w:r w:rsidRPr="00875725">
        <w:rPr>
          <w:rFonts w:ascii="Wingdings" w:eastAsia="微软雅黑" w:hAnsi="Wingdings" w:cs="宋体"/>
          <w:color w:val="333333"/>
          <w:kern w:val="0"/>
          <w:sz w:val="24"/>
        </w:rPr>
        <w:t>u</w:t>
      </w:r>
      <w:r w:rsidRPr="00875725">
        <w:rPr>
          <w:rFonts w:ascii="Times New Roman" w:eastAsia="微软雅黑" w:hAnsi="Times New Roman" w:cs="Times New Roman"/>
          <w:color w:val="333333"/>
          <w:kern w:val="0"/>
          <w:sz w:val="14"/>
          <w:szCs w:val="14"/>
        </w:rPr>
        <w:t>  </w:t>
      </w:r>
      <w:r w:rsidRPr="00875725">
        <w:rPr>
          <w:rFonts w:ascii="华文仿宋" w:eastAsia="华文仿宋" w:hAnsi="华文仿宋" w:cs="宋体" w:hint="eastAsia"/>
          <w:color w:val="333333"/>
          <w:kern w:val="0"/>
          <w:sz w:val="24"/>
        </w:rPr>
        <w:t>掌握全球金融领域新动向，整合资源，创新价值，再造利润，制定传承世代的财富管理规划和构架；</w:t>
      </w:r>
    </w:p>
    <w:p w14:paraId="4171406B" w14:textId="77777777" w:rsidR="00875725" w:rsidRPr="00875725" w:rsidRDefault="00875725" w:rsidP="00875725">
      <w:pPr>
        <w:widowControl/>
        <w:shd w:val="clear" w:color="auto" w:fill="FFFFFF"/>
        <w:spacing w:after="120"/>
        <w:ind w:left="735"/>
        <w:jc w:val="left"/>
        <w:rPr>
          <w:rFonts w:ascii="微软雅黑" w:eastAsia="微软雅黑" w:hAnsi="微软雅黑" w:cs="宋体" w:hint="eastAsia"/>
          <w:color w:val="333333"/>
          <w:kern w:val="0"/>
          <w:szCs w:val="21"/>
        </w:rPr>
      </w:pPr>
      <w:r w:rsidRPr="00875725">
        <w:rPr>
          <w:rFonts w:ascii="Wingdings" w:eastAsia="微软雅黑" w:hAnsi="Wingdings" w:cs="宋体"/>
          <w:color w:val="333333"/>
          <w:kern w:val="0"/>
          <w:sz w:val="24"/>
        </w:rPr>
        <w:lastRenderedPageBreak/>
        <w:t>u</w:t>
      </w:r>
      <w:r w:rsidRPr="00875725">
        <w:rPr>
          <w:rFonts w:ascii="Times New Roman" w:eastAsia="微软雅黑" w:hAnsi="Times New Roman" w:cs="Times New Roman"/>
          <w:color w:val="333333"/>
          <w:kern w:val="0"/>
          <w:sz w:val="14"/>
          <w:szCs w:val="14"/>
        </w:rPr>
        <w:t>  </w:t>
      </w:r>
      <w:r w:rsidRPr="00875725">
        <w:rPr>
          <w:rFonts w:ascii="华文仿宋" w:eastAsia="华文仿宋" w:hAnsi="华文仿宋" w:cs="宋体" w:hint="eastAsia"/>
          <w:color w:val="333333"/>
          <w:kern w:val="0"/>
          <w:sz w:val="24"/>
        </w:rPr>
        <w:t>启迪企业决策者的心智，培养领导者的专业思维、人文素养和领袖气质。</w:t>
      </w:r>
    </w:p>
    <w:p w14:paraId="30C11214"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【课程价值】</w:t>
      </w:r>
    </w:p>
    <w:p w14:paraId="79DF4E7F"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b/>
          <w:bCs/>
          <w:color w:val="333333"/>
          <w:kern w:val="0"/>
          <w:sz w:val="24"/>
        </w:rPr>
        <w:t>国际视野、前沿课堂：</w:t>
      </w:r>
      <w:r w:rsidRPr="00875725">
        <w:rPr>
          <w:rFonts w:ascii="华文仿宋" w:eastAsia="华文仿宋" w:hAnsi="华文仿宋" w:cs="宋体" w:hint="eastAsia"/>
          <w:color w:val="333333"/>
          <w:kern w:val="0"/>
          <w:sz w:val="24"/>
        </w:rPr>
        <w:t>汇聚国内外最优秀的经济学家、金融学专家、企业家，从国际视野，实时分析国际（华尔街、以色列、欧洲等）及国内经济金融政策形势、汲取前沿实用管理理念，掌握企业发展命脉。同时融汇东西方文化，贯通人文、商道，实现未来金融家、投资家的自我超越。</w:t>
      </w:r>
    </w:p>
    <w:p w14:paraId="06D3580D"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b/>
          <w:bCs/>
          <w:color w:val="333333"/>
          <w:kern w:val="0"/>
          <w:sz w:val="24"/>
        </w:rPr>
        <w:t>投资实战、案例解析：</w:t>
      </w:r>
      <w:r w:rsidRPr="00875725">
        <w:rPr>
          <w:rFonts w:ascii="华文仿宋" w:eastAsia="华文仿宋" w:hAnsi="华文仿宋" w:cs="宋体" w:hint="eastAsia"/>
          <w:color w:val="333333"/>
          <w:kern w:val="0"/>
          <w:sz w:val="24"/>
        </w:rPr>
        <w:t>分享来自全球最新的投资理念、富有成效的技术分析和投资实战经验，拓展商业视野，颠覆的投资理念与思维方式，有效地进行系统更新，重塑投资理念与体系。给学员最实用金融规划、投资模式设计、及投融资管理的有效方法，让学员能够在金融与投资实践中加以有效的运用。</w:t>
      </w:r>
    </w:p>
    <w:p w14:paraId="74E58C36"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b/>
          <w:bCs/>
          <w:color w:val="333333"/>
          <w:kern w:val="0"/>
          <w:sz w:val="24"/>
        </w:rPr>
        <w:t>圈层交流、校友联谊：</w:t>
      </w:r>
      <w:r w:rsidRPr="00875725">
        <w:rPr>
          <w:rFonts w:ascii="华文仿宋" w:eastAsia="华文仿宋" w:hAnsi="华文仿宋" w:cs="宋体" w:hint="eastAsia"/>
          <w:color w:val="333333"/>
          <w:kern w:val="0"/>
          <w:sz w:val="24"/>
        </w:rPr>
        <w:t>经济学院多年来吸引了万余名来自世界各地的优秀企业家，定期组织各类高层次学习交流活动，结业的学员将纳入北京大学和北京大学经济学院校友会，为同学们打造一个高质量，高层次的学习交流圈。增进学员交流、提升个人及企业竞争力。为共同合作发展创造合作机会，实现价值共赢，交往最具价值的朋友、成就最具价值的事业。</w:t>
      </w:r>
    </w:p>
    <w:p w14:paraId="2540FB3D"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【招生对象】</w:t>
      </w:r>
    </w:p>
    <w:p w14:paraId="48F3244F"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民营企业投资者、管理者（包括但不限于：企业家、创新创业者、天使投资人、私募基金经理等带有专业背景的投资者、希望实现财务保值和风险规避的高净值人群、对财务投资管理感兴趣的人士、自由投资者）（不招收党政机关、国有企业、事业单位人员参加或者旁听）</w:t>
      </w:r>
      <w:r w:rsidRPr="00875725">
        <w:rPr>
          <w:rFonts w:ascii="宋体" w:eastAsia="宋体" w:hAnsi="宋体" w:cs="宋体" w:hint="eastAsia"/>
          <w:color w:val="333333"/>
          <w:kern w:val="0"/>
          <w:sz w:val="24"/>
        </w:rPr>
        <w:t>。</w:t>
      </w:r>
    </w:p>
    <w:p w14:paraId="32C4B9AD"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 w:val="24"/>
        </w:rPr>
        <w:t>【</w:t>
      </w:r>
      <w:r w:rsidRPr="00875725">
        <w:rPr>
          <w:rFonts w:ascii="微软雅黑" w:eastAsia="微软雅黑" w:hAnsi="微软雅黑" w:cs="宋体" w:hint="eastAsia"/>
          <w:b/>
          <w:bCs/>
          <w:color w:val="333333"/>
          <w:kern w:val="0"/>
          <w:szCs w:val="21"/>
        </w:rPr>
        <w:t>服务管理</w:t>
      </w:r>
      <w:r w:rsidRPr="00875725">
        <w:rPr>
          <w:rFonts w:ascii="宋体" w:eastAsia="宋体" w:hAnsi="宋体" w:cs="宋体" w:hint="eastAsia"/>
          <w:color w:val="333333"/>
          <w:kern w:val="0"/>
          <w:sz w:val="24"/>
        </w:rPr>
        <w:t>】</w:t>
      </w:r>
    </w:p>
    <w:p w14:paraId="4013E68F"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lastRenderedPageBreak/>
        <w:t>由经验丰富的班主任专职管理，确保良好的教学质量及教学环境。班主任组织选举班委会，组织学员听取专家讲座、参与专业研讨、参加丰富多彩的学生活动，使您的学习经历更加充实。</w:t>
      </w:r>
    </w:p>
    <w:p w14:paraId="5680C514"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【课程安排】</w:t>
      </w:r>
    </w:p>
    <w:p w14:paraId="251574E5"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xml:space="preserve">拟安排以下主要课程。具体授课以实际安排为准。　</w:t>
      </w:r>
    </w:p>
    <w:tbl>
      <w:tblPr>
        <w:tblW w:w="8430" w:type="dxa"/>
        <w:shd w:val="clear" w:color="auto" w:fill="FFFFFF"/>
        <w:tblCellMar>
          <w:left w:w="0" w:type="dxa"/>
          <w:right w:w="0" w:type="dxa"/>
        </w:tblCellMar>
        <w:tblLook w:val="04A0" w:firstRow="1" w:lastRow="0" w:firstColumn="1" w:lastColumn="0" w:noHBand="0" w:noVBand="1"/>
      </w:tblPr>
      <w:tblGrid>
        <w:gridCol w:w="4035"/>
        <w:gridCol w:w="4395"/>
      </w:tblGrid>
      <w:tr w:rsidR="00875725" w:rsidRPr="00875725" w14:paraId="5DAB8353" w14:textId="77777777" w:rsidTr="00875725">
        <w:trPr>
          <w:trHeight w:val="45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43324CD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模块一：金融与投资基础</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7BBB5B53"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模块二：多层次资本市场分析</w:t>
            </w:r>
          </w:p>
        </w:tc>
      </w:tr>
      <w:tr w:rsidR="00875725" w:rsidRPr="00875725" w14:paraId="14E76279" w14:textId="77777777" w:rsidTr="00875725">
        <w:trPr>
          <w:trHeight w:val="1920"/>
        </w:trPr>
        <w:tc>
          <w:tcPr>
            <w:tcW w:w="4035" w:type="dxa"/>
            <w:tcBorders>
              <w:top w:val="single" w:sz="6" w:space="0" w:color="auto"/>
              <w:left w:val="single" w:sz="6" w:space="0" w:color="auto"/>
              <w:bottom w:val="single" w:sz="6" w:space="0" w:color="auto"/>
              <w:right w:val="single" w:sz="12" w:space="0" w:color="auto"/>
            </w:tcBorders>
            <w:shd w:val="clear" w:color="auto" w:fill="FFFFFF"/>
            <w:tcMar>
              <w:top w:w="60" w:type="dxa"/>
              <w:left w:w="60" w:type="dxa"/>
              <w:bottom w:w="60" w:type="dxa"/>
              <w:right w:w="60" w:type="dxa"/>
            </w:tcMar>
            <w:hideMark/>
          </w:tcPr>
          <w:p w14:paraId="17D9F0E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金融形势与国际货币体系分析</w:t>
            </w:r>
          </w:p>
          <w:p w14:paraId="1EFAA68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习式改革解读</w:t>
            </w:r>
          </w:p>
          <w:p w14:paraId="10D36B2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货币金融学基础</w:t>
            </w:r>
          </w:p>
          <w:p w14:paraId="19C17B8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国际金融概论</w:t>
            </w:r>
          </w:p>
          <w:p w14:paraId="2EAD8A4B"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金融投资导论</w:t>
            </w:r>
          </w:p>
          <w:p w14:paraId="529F305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金融衍生产品的发展趋势</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400D81C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主板市场的变革与创新</w:t>
            </w:r>
          </w:p>
          <w:p w14:paraId="613937F0"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创业板市场的功能与定位</w:t>
            </w:r>
          </w:p>
          <w:p w14:paraId="6B23E14E"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新三板市场政策分析与解读</w:t>
            </w:r>
          </w:p>
          <w:p w14:paraId="5A87557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中国资本市场现状和挑战</w:t>
            </w:r>
          </w:p>
        </w:tc>
      </w:tr>
      <w:tr w:rsidR="00875725" w:rsidRPr="00875725" w14:paraId="2321D552" w14:textId="77777777" w:rsidTr="00875725">
        <w:trPr>
          <w:trHeight w:val="45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0BB9691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模块三：投资决策系统及风险管理</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630071F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模块四：私募股权投资基金的募集与管理</w:t>
            </w:r>
          </w:p>
        </w:tc>
      </w:tr>
      <w:tr w:rsidR="00875725" w:rsidRPr="00875725" w14:paraId="1A0C4AA7" w14:textId="77777777" w:rsidTr="00875725">
        <w:trPr>
          <w:trHeight w:val="117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64017F8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企业吸引投资的亮点打造</w:t>
            </w:r>
          </w:p>
          <w:p w14:paraId="28866EF5"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投资人和企业家关系处理</w:t>
            </w:r>
          </w:p>
          <w:p w14:paraId="485B6BB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投资分析中的最新思想与发展</w:t>
            </w:r>
          </w:p>
          <w:p w14:paraId="76404CF4"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投资选择方法</w:t>
            </w:r>
          </w:p>
          <w:p w14:paraId="1BD5280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投资项目现金流估算</w:t>
            </w:r>
          </w:p>
          <w:p w14:paraId="5B6E347E"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投资战略与投资回报分析</w:t>
            </w:r>
          </w:p>
          <w:p w14:paraId="2DE0A156"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投资决策流程管理</w:t>
            </w:r>
          </w:p>
          <w:p w14:paraId="1D9A38B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投资分析与风险管理</w:t>
            </w:r>
          </w:p>
          <w:p w14:paraId="407F4BA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VC/PE金融经济价值</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6E853654"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私募股权投资基金的募集、影响因素及应注意的问题</w:t>
            </w:r>
          </w:p>
          <w:p w14:paraId="0782225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私募股权基金的筹建、设立与管理</w:t>
            </w:r>
          </w:p>
          <w:p w14:paraId="266D085A"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私募股权基金的投资模式</w:t>
            </w:r>
          </w:p>
          <w:p w14:paraId="3FE631D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私募股权基金治理模式</w:t>
            </w:r>
          </w:p>
          <w:p w14:paraId="7D14154B"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被投项目企业的治理架构</w:t>
            </w:r>
          </w:p>
          <w:p w14:paraId="0681E3E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被投项目企业商业模式优化</w:t>
            </w:r>
          </w:p>
          <w:p w14:paraId="40118A02"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被投项目企业融资后的管理</w:t>
            </w:r>
          </w:p>
          <w:p w14:paraId="7BE84E2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被投企业的成长辅导与再融资</w:t>
            </w:r>
          </w:p>
        </w:tc>
      </w:tr>
      <w:tr w:rsidR="00875725" w:rsidRPr="00875725" w14:paraId="102F66A5" w14:textId="77777777" w:rsidTr="00875725">
        <w:trPr>
          <w:trHeight w:val="45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6498999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模块五：私募基金的投资与退出渠道</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4D494D83"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模块六：公司上市实务</w:t>
            </w:r>
          </w:p>
        </w:tc>
      </w:tr>
      <w:tr w:rsidR="00875725" w:rsidRPr="00875725" w14:paraId="6C508F3A" w14:textId="77777777" w:rsidTr="00875725">
        <w:trPr>
          <w:trHeight w:val="117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0581896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退出的价格和价值最大化</w:t>
            </w:r>
          </w:p>
          <w:p w14:paraId="5582115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多种退出渠道对比分析</w:t>
            </w:r>
          </w:p>
          <w:p w14:paraId="79E0CC70"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借壳上市与并购重组</w:t>
            </w:r>
          </w:p>
          <w:p w14:paraId="400FD29C"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公司回购及其法律规定</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3A0F7022"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上市流程的关键阶段：预备期、改制器、辅导期、申请期、挂牌期各关键阶段的相应策略</w:t>
            </w:r>
          </w:p>
          <w:p w14:paraId="7D4D8A6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上市改制中的财务问题</w:t>
            </w:r>
          </w:p>
          <w:p w14:paraId="22C4CC79"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上市改制中的法律问题</w:t>
            </w:r>
          </w:p>
          <w:p w14:paraId="72E4F314"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确定募资前的股权定价与权益分配</w:t>
            </w:r>
          </w:p>
          <w:p w14:paraId="544E3E26"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如何控制资本筹措的成本</w:t>
            </w:r>
          </w:p>
          <w:p w14:paraId="58B3299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改制方案设计主要内容</w:t>
            </w:r>
          </w:p>
        </w:tc>
      </w:tr>
      <w:tr w:rsidR="00875725" w:rsidRPr="00875725" w14:paraId="5ECF2F5A" w14:textId="77777777" w:rsidTr="00875725">
        <w:trPr>
          <w:trHeight w:val="45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6993956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模块七：估值、并购、重组实务</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5DD8BCC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模块八：私募股权基金投资案例解析</w:t>
            </w:r>
          </w:p>
        </w:tc>
      </w:tr>
      <w:tr w:rsidR="00875725" w:rsidRPr="00875725" w14:paraId="4EFBABA1" w14:textId="77777777" w:rsidTr="00875725">
        <w:trPr>
          <w:trHeight w:val="645"/>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4D5882B6"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现代公司估值详述</w:t>
            </w:r>
          </w:p>
          <w:p w14:paraId="579B52F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相对估值方法</w:t>
            </w:r>
          </w:p>
          <w:p w14:paraId="7CCB89B3"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公司财务预测与估值模型</w:t>
            </w:r>
          </w:p>
          <w:p w14:paraId="276E976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lastRenderedPageBreak/>
              <w:t>不同行业估值方法选择</w:t>
            </w:r>
          </w:p>
          <w:p w14:paraId="58B34287"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估值方法的拓展应用</w:t>
            </w:r>
          </w:p>
          <w:p w14:paraId="700C1566"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不同类型股东并购重组的动机和行为</w:t>
            </w:r>
          </w:p>
          <w:p w14:paraId="1A9DDA86"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公司并购重组交易结构与支付方式</w:t>
            </w:r>
          </w:p>
          <w:p w14:paraId="34D512E2"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公司并购融资手段</w:t>
            </w:r>
          </w:p>
          <w:p w14:paraId="6D423786"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公司并购重组估值方法和定价</w:t>
            </w:r>
          </w:p>
          <w:p w14:paraId="2058FE34"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公司并购目标的选择</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111CC15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lastRenderedPageBreak/>
              <w:t>能源企业与投资案例</w:t>
            </w:r>
          </w:p>
          <w:p w14:paraId="173320F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影视传媒行业投资案例</w:t>
            </w:r>
          </w:p>
          <w:p w14:paraId="1F85950E"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现代农业企业投资案例</w:t>
            </w:r>
          </w:p>
          <w:p w14:paraId="62B3F953"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lastRenderedPageBreak/>
              <w:t>健康产业投资案例</w:t>
            </w:r>
          </w:p>
          <w:p w14:paraId="2D70CAAE"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高科技企业投资案例</w:t>
            </w:r>
          </w:p>
          <w:p w14:paraId="5B1C53C5"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装备制造业投资案例</w:t>
            </w:r>
          </w:p>
          <w:p w14:paraId="68C68F3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现代服务业投资案例</w:t>
            </w:r>
          </w:p>
          <w:p w14:paraId="24724632"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互联网、大数据投资案例</w:t>
            </w:r>
          </w:p>
        </w:tc>
      </w:tr>
      <w:tr w:rsidR="00875725" w:rsidRPr="00875725" w14:paraId="49AD9A3F" w14:textId="77777777" w:rsidTr="00875725">
        <w:trPr>
          <w:trHeight w:val="450"/>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27F4138F"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lastRenderedPageBreak/>
              <w:t>模块九：大宗商品及期货市场基础理论</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vAlign w:val="center"/>
            <w:hideMark/>
          </w:tcPr>
          <w:p w14:paraId="599F2725"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Cs w:val="21"/>
              </w:rPr>
              <w:t>模块十：投资行为与心态的修炼</w:t>
            </w:r>
          </w:p>
        </w:tc>
      </w:tr>
      <w:tr w:rsidR="00875725" w:rsidRPr="00875725" w14:paraId="4FBBBB74" w14:textId="77777777" w:rsidTr="00875725">
        <w:trPr>
          <w:trHeight w:val="2445"/>
        </w:trPr>
        <w:tc>
          <w:tcPr>
            <w:tcW w:w="403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24033AA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各类投资理财产品、基金、私募产品特点和发行渠道</w:t>
            </w:r>
          </w:p>
          <w:p w14:paraId="2AED00D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期货市场的产生、发展、演变、转型</w:t>
            </w:r>
          </w:p>
          <w:p w14:paraId="6146F7F9"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价格发现、风险管理、资产配置</w:t>
            </w:r>
          </w:p>
          <w:p w14:paraId="7AA3F58D"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大宗商品与经济预测</w:t>
            </w:r>
          </w:p>
          <w:p w14:paraId="7F102A37" w14:textId="77777777" w:rsidR="00875725" w:rsidRPr="00875725" w:rsidRDefault="00875725" w:rsidP="00875725">
            <w:pPr>
              <w:widowControl/>
              <w:spacing w:line="300" w:lineRule="atLeast"/>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股票期权市场特点及交易策略与技巧</w:t>
            </w:r>
          </w:p>
          <w:p w14:paraId="2A3073E5"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期货在资本市场、金融体系中的地位和作用</w:t>
            </w:r>
          </w:p>
          <w:p w14:paraId="1FDAF20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金融衍生品与金融危机的形成、征兆与防范</w:t>
            </w:r>
          </w:p>
          <w:p w14:paraId="2D83EE94"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国际重大风险事件与金融监管体制演变</w:t>
            </w:r>
          </w:p>
        </w:tc>
        <w:tc>
          <w:tcPr>
            <w:tcW w:w="4395" w:type="dxa"/>
            <w:tcBorders>
              <w:top w:val="single" w:sz="6" w:space="0" w:color="auto"/>
              <w:left w:val="single" w:sz="6" w:space="0" w:color="auto"/>
              <w:bottom w:val="single" w:sz="6" w:space="0" w:color="auto"/>
              <w:right w:val="single" w:sz="6" w:space="0" w:color="auto"/>
            </w:tcBorders>
            <w:shd w:val="clear" w:color="auto" w:fill="FFFFFF"/>
            <w:tcMar>
              <w:top w:w="60" w:type="dxa"/>
              <w:left w:w="60" w:type="dxa"/>
              <w:bottom w:w="60" w:type="dxa"/>
              <w:right w:w="60" w:type="dxa"/>
            </w:tcMar>
            <w:hideMark/>
          </w:tcPr>
          <w:p w14:paraId="39647D28"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压力管理与良好心态修炼</w:t>
            </w:r>
          </w:p>
          <w:p w14:paraId="5F2235C1"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金融心理学</w:t>
            </w:r>
          </w:p>
          <w:p w14:paraId="3E751F3B"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国学智慧与投资博弈</w:t>
            </w:r>
          </w:p>
          <w:p w14:paraId="2E3BE66A"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中外优秀投资者行为比较</w:t>
            </w:r>
          </w:p>
          <w:p w14:paraId="4B032B07"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人性的弱点与交易心理学</w:t>
            </w:r>
          </w:p>
          <w:p w14:paraId="53968010" w14:textId="77777777" w:rsidR="00875725" w:rsidRPr="00875725" w:rsidRDefault="00875725" w:rsidP="00875725">
            <w:pPr>
              <w:widowControl/>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Cs w:val="21"/>
              </w:rPr>
              <w:t>行为金融对交易结果的影响</w:t>
            </w:r>
          </w:p>
        </w:tc>
      </w:tr>
    </w:tbl>
    <w:p w14:paraId="70134294"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 </w:t>
      </w:r>
    </w:p>
    <w:p w14:paraId="2DEE281F"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 </w:t>
      </w:r>
    </w:p>
    <w:p w14:paraId="2485E695"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 </w:t>
      </w:r>
    </w:p>
    <w:p w14:paraId="3FEBBA3F"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 </w:t>
      </w:r>
    </w:p>
    <w:p w14:paraId="5154CDBD"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【师资介绍】</w:t>
      </w:r>
      <w:r w:rsidRPr="00875725">
        <w:rPr>
          <w:rFonts w:ascii="华文仿宋" w:eastAsia="华文仿宋" w:hAnsi="华文仿宋" w:cs="宋体" w:hint="eastAsia"/>
          <w:color w:val="333333"/>
          <w:kern w:val="0"/>
          <w:sz w:val="24"/>
        </w:rPr>
        <w:t>拟安排以下主要老师，具体授课以实际安排为准</w:t>
      </w:r>
      <w:r w:rsidRPr="00875725">
        <w:rPr>
          <w:rFonts w:ascii="微软雅黑" w:eastAsia="微软雅黑" w:hAnsi="微软雅黑" w:cs="宋体" w:hint="eastAsia"/>
          <w:b/>
          <w:bCs/>
          <w:color w:val="333333"/>
          <w:kern w:val="0"/>
          <w:szCs w:val="21"/>
        </w:rPr>
        <w:t>：</w:t>
      </w:r>
    </w:p>
    <w:p w14:paraId="3D65B71C"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何小锋：北京大学经济学院  教授</w:t>
      </w:r>
    </w:p>
    <w:p w14:paraId="022E72C9"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李庆云：北京大学经济学院  教授</w:t>
      </w:r>
    </w:p>
    <w:p w14:paraId="4AF632AE"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董志勇：北京大学经济学院  教授</w:t>
      </w:r>
    </w:p>
    <w:p w14:paraId="620316C0"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王曙光：北京大学经济学院  教授</w:t>
      </w:r>
    </w:p>
    <w:p w14:paraId="2B8CB6EB"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曹和平：北京大学经济学院  教授</w:t>
      </w:r>
    </w:p>
    <w:p w14:paraId="50520FD1"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王一鸣：北京大学经济学院  教授</w:t>
      </w:r>
    </w:p>
    <w:p w14:paraId="77359279"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李连发：北京大学经济学院  教授</w:t>
      </w:r>
    </w:p>
    <w:p w14:paraId="5D412C15"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吕随启：北京大学经济学院  副教授</w:t>
      </w:r>
    </w:p>
    <w:p w14:paraId="284512D9"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lastRenderedPageBreak/>
        <w:t>冯  科：北京大学经济学院  副教授</w:t>
      </w:r>
    </w:p>
    <w:p w14:paraId="7CF0D3EA"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崔巍（女）：北京大学经济学院  教授</w:t>
      </w:r>
    </w:p>
    <w:p w14:paraId="3DFEA3FB"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宋芳秀：北京大学经济学院 副教授</w:t>
      </w:r>
    </w:p>
    <w:p w14:paraId="6CE5A448"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黄  嵩：北京大学软件与微电子学院 副教授</w:t>
      </w:r>
    </w:p>
    <w:p w14:paraId="40DC3EAA"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胡俞越：北京工商大学证券期货研究所  教授</w:t>
      </w:r>
    </w:p>
    <w:p w14:paraId="5C5CD7CC"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阚治东：东方汇富创投管理有限公司总裁</w:t>
      </w:r>
    </w:p>
    <w:p w14:paraId="70CF975B"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洪  磊：中国证券投资基金业协会党委书记、会长</w:t>
      </w:r>
    </w:p>
    <w:p w14:paraId="66EE6DA0"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温元凯：著名经济学家、北京南洋林德投资顾问有限公司总裁</w:t>
      </w:r>
    </w:p>
    <w:p w14:paraId="63F07ECC" w14:textId="77777777" w:rsidR="00875725" w:rsidRPr="00875725" w:rsidRDefault="00875725" w:rsidP="00875725">
      <w:pPr>
        <w:widowControl/>
        <w:shd w:val="clear" w:color="auto" w:fill="FFFFFF"/>
        <w:ind w:left="960"/>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金岩石：独立经济学家，并任北京鑫星伊顿投资顾问有限公司CEO。曾为</w:t>
      </w:r>
      <w:r w:rsidRPr="00875725">
        <w:rPr>
          <w:rFonts w:ascii="微软雅黑" w:eastAsia="微软雅黑" w:hAnsi="微软雅黑" w:cs="宋体" w:hint="eastAsia"/>
          <w:kern w:val="0"/>
          <w:szCs w:val="21"/>
        </w:rPr>
        <w:t>国金证券</w:t>
      </w:r>
      <w:r w:rsidRPr="00875725">
        <w:rPr>
          <w:rFonts w:ascii="华文仿宋" w:eastAsia="华文仿宋" w:hAnsi="华文仿宋" w:cs="宋体" w:hint="eastAsia"/>
          <w:color w:val="333333"/>
          <w:kern w:val="0"/>
          <w:sz w:val="24"/>
        </w:rPr>
        <w:t>首席经济学家，被海内外媒体誉为“</w:t>
      </w:r>
      <w:r w:rsidRPr="00875725">
        <w:rPr>
          <w:rFonts w:ascii="微软雅黑" w:eastAsia="微软雅黑" w:hAnsi="微软雅黑" w:cs="宋体" w:hint="eastAsia"/>
          <w:kern w:val="0"/>
          <w:szCs w:val="21"/>
        </w:rPr>
        <w:t>索罗斯</w:t>
      </w:r>
      <w:r w:rsidRPr="00875725">
        <w:rPr>
          <w:rFonts w:ascii="华文仿宋" w:eastAsia="华文仿宋" w:hAnsi="华文仿宋" w:cs="宋体" w:hint="eastAsia"/>
          <w:color w:val="333333"/>
          <w:kern w:val="0"/>
          <w:sz w:val="24"/>
        </w:rPr>
        <w:t>的中国门徒”、“</w:t>
      </w:r>
      <w:r w:rsidRPr="00875725">
        <w:rPr>
          <w:rFonts w:ascii="微软雅黑" w:eastAsia="微软雅黑" w:hAnsi="微软雅黑" w:cs="宋体" w:hint="eastAsia"/>
          <w:kern w:val="0"/>
          <w:szCs w:val="21"/>
        </w:rPr>
        <w:t>纳斯达克</w:t>
      </w:r>
      <w:r w:rsidRPr="00875725">
        <w:rPr>
          <w:rFonts w:ascii="华文仿宋" w:eastAsia="华文仿宋" w:hAnsi="华文仿宋" w:cs="宋体" w:hint="eastAsia"/>
          <w:color w:val="333333"/>
          <w:kern w:val="0"/>
          <w:sz w:val="24"/>
        </w:rPr>
        <w:t>市场的活字典”。</w:t>
      </w:r>
    </w:p>
    <w:p w14:paraId="1C3D32A0"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朱少平：曾任中共孝南区委常委、副书记，1994年9月至2012年任全国人大财经委法案主任</w:t>
      </w:r>
    </w:p>
    <w:p w14:paraId="72CBE7C8" w14:textId="77777777" w:rsidR="00875725" w:rsidRPr="00875725" w:rsidRDefault="00875725" w:rsidP="00875725">
      <w:pPr>
        <w:widowControl/>
        <w:shd w:val="clear" w:color="auto" w:fill="FFFFFF"/>
        <w:ind w:left="960"/>
        <w:jc w:val="left"/>
        <w:textAlignment w:val="baseline"/>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刘健钧：国家发改委财政金融司金融处处长，理学学士、法学硕士、经济学博士、管理学博士后</w:t>
      </w:r>
    </w:p>
    <w:p w14:paraId="1387E4B0" w14:textId="77777777" w:rsidR="00875725" w:rsidRPr="00875725" w:rsidRDefault="00875725" w:rsidP="00875725">
      <w:pPr>
        <w:widowControl/>
        <w:shd w:val="clear" w:color="auto" w:fill="FFFFFF"/>
        <w:jc w:val="left"/>
        <w:textAlignment w:val="baseline"/>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 w:val="24"/>
        </w:rPr>
        <w:t> </w:t>
      </w:r>
    </w:p>
    <w:p w14:paraId="5F5CDF52"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【学习时间】</w:t>
      </w:r>
    </w:p>
    <w:p w14:paraId="08F02D27" w14:textId="77777777" w:rsidR="00875725" w:rsidRPr="00875725" w:rsidRDefault="00875725" w:rsidP="00875725">
      <w:pPr>
        <w:widowControl/>
        <w:shd w:val="clear" w:color="auto" w:fill="FFFFFF"/>
        <w:spacing w:after="120"/>
        <w:ind w:firstLine="60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学制1年，每个月上课一次，每次集中授课2天。一共24天课程。</w:t>
      </w:r>
    </w:p>
    <w:p w14:paraId="0100D4EA"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【授课地点】</w:t>
      </w:r>
    </w:p>
    <w:p w14:paraId="17F4BAC6"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北京大学</w:t>
      </w:r>
    </w:p>
    <w:p w14:paraId="22AE0663"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【证书管理】</w:t>
      </w:r>
    </w:p>
    <w:p w14:paraId="0937DBBF"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学完全部课程并考核合格后，由北京大学颁发学校统一编号的培训结业证书，证书盖北京大学钢印，证书编号可登陆北大网站查询。</w:t>
      </w:r>
    </w:p>
    <w:p w14:paraId="3EF5ED11"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lastRenderedPageBreak/>
        <w:t>【学费标准】</w:t>
      </w:r>
    </w:p>
    <w:p w14:paraId="7B94699F"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color w:val="333333"/>
          <w:kern w:val="0"/>
          <w:sz w:val="24"/>
        </w:rPr>
        <w:t>    </w:t>
      </w:r>
      <w:r w:rsidRPr="00875725">
        <w:rPr>
          <w:rFonts w:ascii="华文仿宋" w:eastAsia="华文仿宋" w:hAnsi="华文仿宋" w:cs="宋体" w:hint="eastAsia"/>
          <w:color w:val="333333"/>
          <w:kern w:val="0"/>
          <w:sz w:val="24"/>
        </w:rPr>
        <w:t>培训学费：</w:t>
      </w:r>
      <w:r w:rsidRPr="00875725">
        <w:rPr>
          <w:rFonts w:ascii="微软雅黑" w:eastAsia="微软雅黑" w:hAnsi="微软雅黑" w:cs="宋体" w:hint="eastAsia"/>
          <w:b/>
          <w:bCs/>
          <w:color w:val="333333"/>
          <w:kern w:val="0"/>
          <w:szCs w:val="21"/>
        </w:rPr>
        <w:t>￥128000元/人/期</w:t>
      </w:r>
      <w:r w:rsidRPr="00875725">
        <w:rPr>
          <w:rFonts w:ascii="华文仿宋" w:eastAsia="华文仿宋" w:hAnsi="华文仿宋" w:cs="宋体" w:hint="eastAsia"/>
          <w:color w:val="333333"/>
          <w:kern w:val="0"/>
          <w:sz w:val="24"/>
        </w:rPr>
        <w:t>，上课期间食宿及其它费用自理。</w:t>
      </w:r>
    </w:p>
    <w:p w14:paraId="07A4E304"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培训学费由北京大学财务部在开班前统一收取，开具中央非税收入统一票据，并严格执行有关财务规定。请学员将学费汇至北京大学帐户。请直接向北京大学交费，不要向其他任何个人或组织交费。 </w:t>
      </w:r>
    </w:p>
    <w:p w14:paraId="5BA5B371"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【汇款方式】</w:t>
      </w:r>
    </w:p>
    <w:p w14:paraId="7EE1EF95"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户  名：北京大学</w:t>
      </w:r>
    </w:p>
    <w:p w14:paraId="3CB118CC" w14:textId="77777777" w:rsidR="00875725" w:rsidRPr="00875725" w:rsidRDefault="00875725" w:rsidP="00875725">
      <w:pPr>
        <w:widowControl/>
        <w:shd w:val="clear" w:color="auto" w:fill="FFFFFF"/>
        <w:spacing w:after="120"/>
        <w:ind w:firstLine="48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开户行：工行北京海淀西区支行</w:t>
      </w:r>
    </w:p>
    <w:p w14:paraId="711112B6"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帐  号：0200004509089131151</w:t>
      </w:r>
    </w:p>
    <w:p w14:paraId="3707D0B2"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在汇款单“用途”栏里务必填上“经济学院+****研修班+学员姓名”。 汇款后请将银行汇款回单复印件发送给教务组。</w:t>
      </w:r>
    </w:p>
    <w:p w14:paraId="41DE0AD1"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宋体" w:eastAsia="宋体" w:hAnsi="宋体" w:cs="宋体" w:hint="eastAsia"/>
          <w:b/>
          <w:bCs/>
          <w:color w:val="333333"/>
          <w:kern w:val="0"/>
          <w:sz w:val="24"/>
        </w:rPr>
        <w:t>【报名流程】</w:t>
      </w:r>
    </w:p>
    <w:p w14:paraId="7E51B8B5"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b/>
          <w:bCs/>
          <w:color w:val="333333"/>
          <w:kern w:val="0"/>
          <w:sz w:val="24"/>
        </w:rPr>
        <w:t>填写报名表 → 邮寄报名材料和照片→缴纳学费 → 发入学通知书 → 报到入学</w:t>
      </w:r>
    </w:p>
    <w:p w14:paraId="2027EE38"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申请报名：申请者可通过电话索要报名表报名，报名表格复印有效。</w:t>
      </w:r>
    </w:p>
    <w:p w14:paraId="36EA9490"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报名表填写后请用电子邮件发送，并同时邮寄报名材料和照片，包括本人身份证、学历证明及交费单据复印件、四张证件照片（1寸和2寸照片各两张，照片背面写明姓名）。</w:t>
      </w:r>
    </w:p>
    <w:p w14:paraId="60523752"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确认回访：经审查合格者，发“交费须知”。</w:t>
      </w:r>
    </w:p>
    <w:p w14:paraId="4D212AEA"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缴纳学费：学员收到“交费须知”后，按要求交纳全部学费。</w:t>
      </w:r>
    </w:p>
    <w:p w14:paraId="0C7842F4" w14:textId="77777777" w:rsidR="00875725" w:rsidRPr="00875725" w:rsidRDefault="00875725" w:rsidP="00875725">
      <w:pPr>
        <w:widowControl/>
        <w:shd w:val="clear" w:color="auto" w:fill="FFFFFF"/>
        <w:spacing w:after="120"/>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lastRenderedPageBreak/>
        <w:t>◆ 入学通知：学员交纳学费到账后，将按照北京大学的有关规定开具行政事业单位统一票据并发入学通知书。</w:t>
      </w:r>
    </w:p>
    <w:p w14:paraId="7BA9BB98" w14:textId="1F56FE00" w:rsidR="00875725" w:rsidRPr="00875725" w:rsidRDefault="00875725" w:rsidP="00875725">
      <w:pPr>
        <w:widowControl/>
        <w:shd w:val="clear" w:color="auto" w:fill="FFFFFF"/>
        <w:jc w:val="left"/>
        <w:rPr>
          <w:rFonts w:ascii="微软雅黑" w:eastAsia="微软雅黑" w:hAnsi="微软雅黑" w:cs="宋体" w:hint="eastAsia"/>
          <w:color w:val="333333"/>
          <w:kern w:val="0"/>
          <w:szCs w:val="21"/>
        </w:rPr>
      </w:pPr>
      <w:r w:rsidRPr="00875725">
        <w:rPr>
          <w:rFonts w:ascii="华文仿宋" w:eastAsia="华文仿宋" w:hAnsi="华文仿宋" w:cs="宋体" w:hint="eastAsia"/>
          <w:color w:val="333333"/>
          <w:kern w:val="0"/>
          <w:sz w:val="24"/>
        </w:rPr>
        <w:t>◆ 报到入学：交完费用的学员，请于</w:t>
      </w:r>
      <w:r w:rsidRPr="00875725">
        <w:rPr>
          <w:rFonts w:ascii="宋体" w:eastAsia="宋体" w:hAnsi="宋体" w:cs="宋体" w:hint="eastAsia"/>
          <w:color w:val="333333"/>
          <w:kern w:val="0"/>
          <w:szCs w:val="21"/>
          <w:u w:val="single"/>
        </w:rPr>
        <w:t>开课前</w:t>
      </w:r>
      <w:r w:rsidRPr="00875725">
        <w:rPr>
          <w:rFonts w:ascii="华文仿宋" w:eastAsia="华文仿宋" w:hAnsi="华文仿宋" w:cs="宋体" w:hint="eastAsia"/>
          <w:color w:val="333333"/>
          <w:kern w:val="0"/>
          <w:sz w:val="24"/>
        </w:rPr>
        <w:t>正式报到，办理入学手续。学员将与经济学院签订《北京大学社会招生非学历继续教育培训项目协议书》。</w:t>
      </w:r>
    </w:p>
    <w:sectPr w:rsidR="00875725" w:rsidRPr="00875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仿宋">
    <w:altName w:val="STFangsong"/>
    <w:panose1 w:val="02010600040101010101"/>
    <w:charset w:val="86"/>
    <w:family w:val="auto"/>
    <w:pitch w:val="variable"/>
    <w:sig w:usb0="00000287" w:usb1="080F0000" w:usb2="00000010" w:usb3="00000000" w:csb0="0004009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25"/>
    <w:rsid w:val="000236F4"/>
    <w:rsid w:val="001F610F"/>
    <w:rsid w:val="007A1CAD"/>
    <w:rsid w:val="00875725"/>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C4836F"/>
  <w15:chartTrackingRefBased/>
  <w15:docId w15:val="{771B5503-AFEE-1E42-96BE-B93779E6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725"/>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75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2022-11-07T07:59:00Z</dcterms:created>
  <dcterms:modified xsi:type="dcterms:W3CDTF">2022-11-07T07:59:00Z</dcterms:modified>
</cp:coreProperties>
</file>