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6297" w14:textId="3749E100" w:rsidR="007A1CAD" w:rsidRDefault="003A75FD">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科创板注册制与IPO上市实操研修班</w:t>
      </w:r>
    </w:p>
    <w:p w14:paraId="0CB36EEF" w14:textId="77777777" w:rsidR="003A75FD" w:rsidRDefault="003A75FD" w:rsidP="003A75FD">
      <w:pPr>
        <w:pStyle w:val="a3"/>
        <w:shd w:val="clear" w:color="auto" w:fill="FFFFFF"/>
        <w:spacing w:before="0" w:beforeAutospacing="0" w:after="0" w:afterAutospacing="0"/>
        <w:ind w:firstLine="1080"/>
        <w:jc w:val="both"/>
        <w:rPr>
          <w:rFonts w:ascii="微软雅黑" w:eastAsia="微软雅黑" w:hAnsi="微软雅黑"/>
          <w:color w:val="333333"/>
          <w:sz w:val="21"/>
          <w:szCs w:val="21"/>
        </w:rPr>
      </w:pPr>
      <w:r>
        <w:rPr>
          <w:rStyle w:val="a4"/>
          <w:rFonts w:ascii="微软雅黑" w:eastAsia="微软雅黑" w:hAnsi="微软雅黑" w:hint="eastAsia"/>
          <w:color w:val="004398"/>
          <w:sz w:val="21"/>
          <w:szCs w:val="21"/>
        </w:rPr>
        <w:t>科创板注册制与</w:t>
      </w:r>
      <w:r>
        <w:rPr>
          <w:rStyle w:val="a4"/>
          <w:rFonts w:ascii="微软雅黑" w:eastAsia="微软雅黑" w:hAnsi="微软雅黑" w:hint="eastAsia"/>
          <w:color w:val="004398"/>
          <w:sz w:val="36"/>
          <w:szCs w:val="36"/>
        </w:rPr>
        <w:t>IPO</w:t>
      </w:r>
      <w:r>
        <w:rPr>
          <w:rStyle w:val="a4"/>
          <w:rFonts w:ascii="微软雅黑" w:eastAsia="微软雅黑" w:hAnsi="微软雅黑" w:hint="eastAsia"/>
          <w:color w:val="004398"/>
          <w:sz w:val="21"/>
          <w:szCs w:val="21"/>
        </w:rPr>
        <w:t>上市实操研修班</w:t>
      </w:r>
    </w:p>
    <w:p w14:paraId="5AB380AB"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004398"/>
          <w:sz w:val="27"/>
          <w:szCs w:val="27"/>
        </w:rPr>
        <w:t> </w:t>
      </w:r>
    </w:p>
    <w:p w14:paraId="335C02A7"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004398"/>
          <w:sz w:val="21"/>
          <w:szCs w:val="21"/>
        </w:rPr>
        <w:t>项目简介</w:t>
      </w:r>
    </w:p>
    <w:p w14:paraId="6BDE9509"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随着上海科创板、战略新兴板先后开板，注册制改革推行时间临近，中国将真正进入一个多层次资本市场体系。未来，越来越多的上市、挂牌企业在资本市场运作中，将面临不同于以往实体经营的两大新任务——</w:t>
      </w:r>
    </w:p>
    <w:p w14:paraId="55086857"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3E97A500"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第一，企业需要学会与PE/VC、券商、律所、会计师事务所等机构打交道，如何保障沟通有效、统筹有序、以企业利益而非各机构利益为终极目标？第二，民营企业作为未来上市、挂牌浪潮的主体，将不可避免面临大股东套现需求以及股权被分散、被稀释的问题，如何进行公司市值管理、对二级市场恶意并购进行有效防御、确保大股东经营权？宝能与万科之争、沃尔核材与长园集团之争，其本质皆预示着上市公司需要合理规划制定自身的资本运作解决方案，实现股权分散情况下的资本风险控制。</w:t>
      </w:r>
    </w:p>
    <w:p w14:paraId="5AA1D135"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0CE3C0CA"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作为北丰商学院最具特色的旗舰课程之一，科创板课程专为高速成长的成功企业的高管，以及拟上市企业管理者设计。2019年科创板课程全面升级，紧密契合企业高层不断升级的学习需求，帮助学员更清晰地认识企业，快速登陆科创板。</w:t>
      </w:r>
    </w:p>
    <w:p w14:paraId="1867B36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14:paraId="5D59CB0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004398"/>
          <w:sz w:val="21"/>
          <w:szCs w:val="21"/>
        </w:rPr>
        <w:t>核心价值</w:t>
      </w:r>
    </w:p>
    <w:p w14:paraId="58CEEB97"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如何做企业上市的系统筹划，保障企业上市顺利推进？</w:t>
      </w:r>
    </w:p>
    <w:p w14:paraId="1530D919"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如何与PE/VC打交道，帮助公司获得资本市场的青睐与支持？</w:t>
      </w:r>
    </w:p>
    <w:p w14:paraId="0E055460"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如何统筹券商、律师的工作，防止因中介机构工作不力带来的上市风险？</w:t>
      </w:r>
    </w:p>
    <w:p w14:paraId="7D829481"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如何解决股权历史问题、制定股权激励和员工持股计划，构建最有利的公司治理结构？</w:t>
      </w:r>
    </w:p>
    <w:p w14:paraId="15880A75"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如何在合理合法的前提下以最小化的融资成本获得最大化的融资规模？</w:t>
      </w:r>
    </w:p>
    <w:p w14:paraId="1F05EC12"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如何规划公司上市前和上市后的控制权安排，尤其是控制上市后股权分散情况下的资本风险，防御、应对二级市场的恶意并购？</w:t>
      </w:r>
    </w:p>
    <w:p w14:paraId="413E1F8B"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如何应对突发事件，进行危机公关，防止公司利益损失？</w:t>
      </w:r>
    </w:p>
    <w:p w14:paraId="074CE966"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666666"/>
          <w:sz w:val="21"/>
          <w:szCs w:val="21"/>
        </w:rPr>
        <w:t> </w:t>
      </w:r>
    </w:p>
    <w:p w14:paraId="2CA28FA0"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004398"/>
          <w:sz w:val="21"/>
          <w:szCs w:val="21"/>
        </w:rPr>
        <w:t>课程设置</w:t>
      </w:r>
    </w:p>
    <w:p w14:paraId="736CAEFC"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一、科创企业融资政策趋势</w:t>
      </w:r>
    </w:p>
    <w:p w14:paraId="2B81ECCA"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1）科创企业定义、融资政策趋势     </w:t>
      </w:r>
    </w:p>
    <w:p w14:paraId="3265C2F2"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2）科创板政策动态、推出背景及影响</w:t>
      </w:r>
    </w:p>
    <w:p w14:paraId="04F49549"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3）我国资本市场体系及各板块的定位、比较   </w:t>
      </w:r>
    </w:p>
    <w:p w14:paraId="360FBD0E"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4）科创板上市地方代表性奖励政策</w:t>
      </w:r>
    </w:p>
    <w:p w14:paraId="14D48A05"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 </w:t>
      </w:r>
    </w:p>
    <w:p w14:paraId="38BFA3AE"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二、科创板注册制实务</w:t>
      </w:r>
    </w:p>
    <w:p w14:paraId="2AF71717"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1）企业上市由上交所审核、证监会注册       </w:t>
      </w:r>
    </w:p>
    <w:p w14:paraId="643D8EC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2）注册制的核心理念、实务操作</w:t>
      </w:r>
    </w:p>
    <w:p w14:paraId="289AE4FF"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3）科创板上市委员会与科技创新咨询委员会   </w:t>
      </w:r>
    </w:p>
    <w:p w14:paraId="594FE4C6"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4）注册制下的信息披露义务、法律责任</w:t>
      </w:r>
    </w:p>
    <w:p w14:paraId="69086D79"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666666"/>
          <w:sz w:val="21"/>
          <w:szCs w:val="21"/>
        </w:rPr>
        <w:t> </w:t>
      </w:r>
    </w:p>
    <w:p w14:paraId="035CAA3B"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三、科创板公司上市条件</w:t>
      </w:r>
    </w:p>
    <w:p w14:paraId="14FB42CC"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1）上市标准                </w:t>
      </w:r>
    </w:p>
    <w:p w14:paraId="063E49C7"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2）表决权差异、实际控制人   </w:t>
      </w:r>
    </w:p>
    <w:p w14:paraId="1EA11D9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3）财务指标及盈利要求</w:t>
      </w:r>
    </w:p>
    <w:p w14:paraId="25F878C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4）主体、组织合规、内控    </w:t>
      </w:r>
    </w:p>
    <w:p w14:paraId="483E451B"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5）募集资金用途             </w:t>
      </w:r>
    </w:p>
    <w:p w14:paraId="17EDFC5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6）上市公司分拆子公司上市</w:t>
      </w:r>
    </w:p>
    <w:p w14:paraId="1FF68626"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7）同股不同权、红筹架构    </w:t>
      </w:r>
      <w:r>
        <w:rPr>
          <w:rFonts w:ascii="微软雅黑" w:eastAsia="微软雅黑" w:hAnsi="微软雅黑" w:hint="eastAsia"/>
          <w:color w:val="666666"/>
          <w:sz w:val="21"/>
          <w:szCs w:val="21"/>
        </w:rPr>
        <w:t>              </w:t>
      </w:r>
    </w:p>
    <w:p w14:paraId="4F8532E6"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666666"/>
          <w:sz w:val="21"/>
          <w:szCs w:val="21"/>
        </w:rPr>
        <w:t> </w:t>
      </w:r>
    </w:p>
    <w:p w14:paraId="43FE8C41"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四、科创板上市审核与发行定价</w:t>
      </w:r>
    </w:p>
    <w:p w14:paraId="17576645"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1）申请、受理、审核、上市委审议、报送       </w:t>
      </w:r>
    </w:p>
    <w:p w14:paraId="0EFB119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2）审核内容、审核方式方法、新三性</w:t>
      </w:r>
    </w:p>
    <w:p w14:paraId="50DE0A32"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3）中止、终止审核及中止事项的处理           </w:t>
      </w:r>
    </w:p>
    <w:p w14:paraId="7139F92D"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4）《审核规则》审核相关事项部分</w:t>
      </w:r>
    </w:p>
    <w:p w14:paraId="58192B75"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5）特殊情形下的审核事项与异常情况处理       </w:t>
      </w:r>
    </w:p>
    <w:p w14:paraId="58A507EF"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6）发行人及中介机构违规行为的责任</w:t>
      </w:r>
    </w:p>
    <w:p w14:paraId="4E2E5342"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7）IPO定价发行的核心要素、发行现行规则   </w:t>
      </w:r>
      <w:r>
        <w:rPr>
          <w:rFonts w:ascii="微软雅黑" w:eastAsia="微软雅黑" w:hAnsi="微软雅黑" w:hint="eastAsia"/>
          <w:color w:val="666666"/>
          <w:sz w:val="21"/>
          <w:szCs w:val="21"/>
        </w:rPr>
        <w:t>  </w:t>
      </w:r>
    </w:p>
    <w:p w14:paraId="623CF95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666666"/>
          <w:sz w:val="21"/>
          <w:szCs w:val="21"/>
        </w:rPr>
        <w:t> </w:t>
      </w:r>
    </w:p>
    <w:p w14:paraId="58369429"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五、科创板差异化交易机制安排</w:t>
      </w:r>
    </w:p>
    <w:p w14:paraId="40DED803"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1）投资者适当性             </w:t>
      </w:r>
    </w:p>
    <w:p w14:paraId="4011D33E"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2）放宽涨跌幅限制                 </w:t>
      </w:r>
    </w:p>
    <w:p w14:paraId="06E1B76F"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3）盘后固定价格交易</w:t>
      </w:r>
    </w:p>
    <w:p w14:paraId="1C46E2DC"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4）融券交易机制             </w:t>
      </w:r>
    </w:p>
    <w:p w14:paraId="6679DAFA"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5）调整和优化微观机制             </w:t>
      </w:r>
    </w:p>
    <w:p w14:paraId="6BD2867A"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6）交易行为监督</w:t>
      </w:r>
    </w:p>
    <w:p w14:paraId="067DF879"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六、科创板上市公司的持续监管与退市</w:t>
      </w:r>
    </w:p>
    <w:p w14:paraId="29B20111"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1）信息披露                 </w:t>
      </w:r>
    </w:p>
    <w:p w14:paraId="2CDFAB1D"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2）股份减持      </w:t>
      </w:r>
    </w:p>
    <w:p w14:paraId="1BB44B62"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3）公司治理                 </w:t>
      </w:r>
    </w:p>
    <w:p w14:paraId="6EBCABE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4）股权激励</w:t>
      </w:r>
    </w:p>
    <w:p w14:paraId="571B39FF"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5）差异化表决权，同股不同权</w:t>
      </w:r>
    </w:p>
    <w:p w14:paraId="4A8CC25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6）重大资产重组  </w:t>
      </w:r>
    </w:p>
    <w:p w14:paraId="1507F06D"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7）保荐机构责任          </w:t>
      </w:r>
    </w:p>
    <w:p w14:paraId="6C9F4C41"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8）退市</w:t>
      </w:r>
    </w:p>
    <w:p w14:paraId="363D3E7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666666"/>
          <w:sz w:val="21"/>
          <w:szCs w:val="21"/>
        </w:rPr>
        <w:t> </w:t>
      </w:r>
    </w:p>
    <w:p w14:paraId="669247F3"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七、科创板拟上市公司的遴选与项目开发策略</w:t>
      </w:r>
    </w:p>
    <w:p w14:paraId="14DF24A0"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1）重点关注企业所属行业                      </w:t>
      </w:r>
    </w:p>
    <w:p w14:paraId="4F8CBE7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2）关注企业基本面</w:t>
      </w:r>
    </w:p>
    <w:p w14:paraId="6573480C"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3）监管层对首批科创板企业的窗口指导   </w:t>
      </w:r>
    </w:p>
    <w:p w14:paraId="129FE162"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4）科创板动性和估值</w:t>
      </w:r>
    </w:p>
    <w:p w14:paraId="1A962B1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666666"/>
          <w:sz w:val="21"/>
          <w:szCs w:val="21"/>
        </w:rPr>
        <w:t> </w:t>
      </w:r>
    </w:p>
    <w:p w14:paraId="0DFFFDEE"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八、科创板企业上市的法律问题</w:t>
      </w:r>
    </w:p>
    <w:p w14:paraId="30BD4E81"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1）科创板上市中常见法律问题分析    </w:t>
      </w:r>
    </w:p>
    <w:p w14:paraId="697989CC"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2）重组、改制、辅导申报阶段律师的工作内容</w:t>
      </w:r>
    </w:p>
    <w:p w14:paraId="76A8364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3）法律尽职调查阶段的工作内容      </w:t>
      </w:r>
    </w:p>
    <w:p w14:paraId="2E36C2C5"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4）撰写招股说明书</w:t>
      </w:r>
    </w:p>
    <w:p w14:paraId="05DAC0FC"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5）股权结构差异化安排问题</w:t>
      </w:r>
    </w:p>
    <w:p w14:paraId="342A269D"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4F81BD"/>
          <w:sz w:val="21"/>
          <w:szCs w:val="21"/>
        </w:rPr>
        <w:t>九、企业上市中的涉税事项</w:t>
      </w:r>
    </w:p>
    <w:p w14:paraId="50182F2C"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1）股改涉及的主要税务问题</w:t>
      </w:r>
    </w:p>
    <w:p w14:paraId="4AD69887"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2）上市主体股权架构涉及的税务问题</w:t>
      </w:r>
    </w:p>
    <w:p w14:paraId="25A66250"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3）股权交易涉及的主要税务问题</w:t>
      </w:r>
    </w:p>
    <w:p w14:paraId="7B1666C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4）企业吸收合并涉及的主要税务事项</w:t>
      </w:r>
    </w:p>
    <w:p w14:paraId="2572110D"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5）如何降低上市的税务成本和风险</w:t>
      </w:r>
    </w:p>
    <w:p w14:paraId="2404E615"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6）历史遗留的税务问题</w:t>
      </w:r>
    </w:p>
    <w:p w14:paraId="6AFB7C9B"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004398"/>
          <w:sz w:val="21"/>
          <w:szCs w:val="21"/>
        </w:rPr>
        <w:t>部分师资</w:t>
      </w:r>
    </w:p>
    <w:p w14:paraId="4CE8435D"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张云峰 上海股权托管登记中心 党委书记、总经理</w:t>
      </w:r>
    </w:p>
    <w:p w14:paraId="056D26C6"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施卫东 原中国船舶工业股份有限公司董秘</w:t>
      </w:r>
    </w:p>
    <w:p w14:paraId="47752131"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周勤业 教授、博士生导师</w:t>
      </w:r>
    </w:p>
    <w:p w14:paraId="73873588"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微软雅黑" w:eastAsia="微软雅黑" w:hAnsi="微软雅黑" w:hint="eastAsia"/>
          <w:color w:val="004398"/>
          <w:sz w:val="21"/>
          <w:szCs w:val="21"/>
        </w:rPr>
        <w:t>招生对象</w:t>
      </w:r>
    </w:p>
    <w:p w14:paraId="251D8F5B"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拟上市或已上市企业股东、财务总监、法务总监等上市相关管理人员；</w:t>
      </w:r>
    </w:p>
    <w:p w14:paraId="7A114DBA"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拟上市企业董事长、总经理、副总经理等负责公司资本运作的高级管理人员；</w:t>
      </w:r>
    </w:p>
    <w:p w14:paraId="04DFD734" w14:textId="77777777" w:rsidR="003A75FD" w:rsidRDefault="003A75FD" w:rsidP="003A75FD">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有志于从事董秘工作的会计师、律师、投资总监、投资经理等专业人员。</w:t>
      </w:r>
    </w:p>
    <w:p w14:paraId="1A4F9878" w14:textId="77777777" w:rsidR="003A75FD" w:rsidRDefault="003A75FD" w:rsidP="003A75FD">
      <w:pPr>
        <w:pStyle w:val="a3"/>
        <w:shd w:val="clear" w:color="auto" w:fill="FFFFFF"/>
        <w:spacing w:before="0" w:beforeAutospacing="0" w:after="0" w:afterAutospacing="0" w:line="390" w:lineRule="atLeast"/>
        <w:jc w:val="center"/>
        <w:rPr>
          <w:rFonts w:ascii="微软雅黑" w:eastAsia="微软雅黑" w:hAnsi="微软雅黑" w:hint="eastAsia"/>
          <w:color w:val="333333"/>
          <w:sz w:val="21"/>
          <w:szCs w:val="21"/>
        </w:rPr>
      </w:pPr>
      <w:r>
        <w:rPr>
          <w:rStyle w:val="a4"/>
          <w:rFonts w:ascii="微软雅黑" w:eastAsia="微软雅黑" w:hAnsi="微软雅黑" w:hint="eastAsia"/>
          <w:color w:val="333333"/>
          <w:spacing w:val="15"/>
          <w:sz w:val="21"/>
          <w:szCs w:val="21"/>
        </w:rPr>
        <w:t>【学习安排】</w:t>
      </w:r>
    </w:p>
    <w:p w14:paraId="7A98FE5E" w14:textId="77777777" w:rsidR="003A75FD" w:rsidRDefault="003A75FD" w:rsidP="003A75FD">
      <w:pPr>
        <w:pStyle w:val="a3"/>
        <w:shd w:val="clear" w:color="auto" w:fill="FFFFFF"/>
        <w:spacing w:before="0" w:beforeAutospacing="0" w:after="0" w:afterAutospacing="0" w:line="39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pacing w:val="15"/>
          <w:sz w:val="21"/>
          <w:szCs w:val="21"/>
        </w:rPr>
        <w:t>学制安排：学制二天（周六、日）</w:t>
      </w:r>
    </w:p>
    <w:p w14:paraId="5A6366FD" w14:textId="77777777" w:rsidR="003A75FD" w:rsidRDefault="003A75FD" w:rsidP="003A75FD">
      <w:pPr>
        <w:pStyle w:val="a3"/>
        <w:shd w:val="clear" w:color="auto" w:fill="FFFFFF"/>
        <w:spacing w:before="0" w:beforeAutospacing="0" w:after="0" w:afterAutospacing="0" w:line="39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pacing w:val="15"/>
          <w:sz w:val="21"/>
          <w:szCs w:val="21"/>
        </w:rPr>
        <w:t>开学时间：4月20日-21日 </w:t>
      </w:r>
    </w:p>
    <w:p w14:paraId="3272E814" w14:textId="77777777" w:rsidR="003A75FD" w:rsidRDefault="003A75FD" w:rsidP="003A75FD">
      <w:pPr>
        <w:pStyle w:val="a3"/>
        <w:shd w:val="clear" w:color="auto" w:fill="FFFFFF"/>
        <w:spacing w:before="0" w:beforeAutospacing="0" w:after="0" w:afterAutospacing="0" w:line="390" w:lineRule="atLeast"/>
        <w:jc w:val="center"/>
        <w:rPr>
          <w:rFonts w:ascii="微软雅黑" w:eastAsia="微软雅黑" w:hAnsi="微软雅黑" w:hint="eastAsia"/>
          <w:color w:val="333333"/>
          <w:sz w:val="21"/>
          <w:szCs w:val="21"/>
        </w:rPr>
      </w:pPr>
      <w:r>
        <w:rPr>
          <w:rStyle w:val="a4"/>
          <w:rFonts w:ascii="微软雅黑" w:eastAsia="微软雅黑" w:hAnsi="微软雅黑" w:hint="eastAsia"/>
          <w:color w:val="333333"/>
          <w:spacing w:val="15"/>
          <w:sz w:val="21"/>
          <w:szCs w:val="21"/>
        </w:rPr>
        <w:t>【学习费用】</w:t>
      </w:r>
    </w:p>
    <w:p w14:paraId="7D3E1DE1" w14:textId="48E98567" w:rsidR="003A75FD" w:rsidRDefault="003A75FD" w:rsidP="003A75FD">
      <w:pPr>
        <w:pStyle w:val="a3"/>
        <w:shd w:val="clear" w:color="auto" w:fill="FFFFFF"/>
        <w:spacing w:before="0" w:beforeAutospacing="0" w:after="0" w:afterAutospacing="0" w:line="39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pacing w:val="15"/>
          <w:sz w:val="21"/>
          <w:szCs w:val="21"/>
        </w:rPr>
        <w:t>2019 RMB</w:t>
      </w:r>
      <w:r>
        <w:rPr>
          <w:rFonts w:ascii="微软雅黑" w:eastAsia="微软雅黑" w:hAnsi="微软雅黑"/>
          <w:color w:val="333333"/>
          <w:spacing w:val="15"/>
          <w:sz w:val="21"/>
          <w:szCs w:val="21"/>
        </w:rPr>
        <w:t xml:space="preserve">      </w:t>
      </w:r>
      <w:r>
        <w:rPr>
          <w:rFonts w:ascii="微软雅黑" w:eastAsia="微软雅黑" w:hAnsi="微软雅黑" w:hint="eastAsia"/>
          <w:color w:val="333333"/>
          <w:spacing w:val="15"/>
          <w:sz w:val="21"/>
          <w:szCs w:val="21"/>
        </w:rPr>
        <w:t>元/人</w:t>
      </w:r>
    </w:p>
    <w:p w14:paraId="28498D53" w14:textId="41AF9B15" w:rsidR="003A75FD" w:rsidRPr="003A75FD" w:rsidRDefault="003A75FD" w:rsidP="003A75FD">
      <w:pPr>
        <w:pStyle w:val="a3"/>
        <w:shd w:val="clear" w:color="auto" w:fill="FFFFFF"/>
        <w:spacing w:before="0" w:beforeAutospacing="0" w:after="0" w:afterAutospacing="0" w:line="390" w:lineRule="atLeast"/>
        <w:jc w:val="center"/>
        <w:rPr>
          <w:rFonts w:ascii="微软雅黑" w:eastAsia="微软雅黑" w:hAnsi="微软雅黑" w:hint="eastAsia"/>
          <w:color w:val="333333"/>
          <w:sz w:val="21"/>
          <w:szCs w:val="21"/>
        </w:rPr>
      </w:pPr>
      <w:r>
        <w:rPr>
          <w:rFonts w:ascii="微软雅黑" w:eastAsia="微软雅黑" w:hAnsi="微软雅黑" w:hint="eastAsia"/>
          <w:color w:val="333333"/>
          <w:spacing w:val="15"/>
          <w:sz w:val="21"/>
          <w:szCs w:val="21"/>
        </w:rPr>
        <w:t>（学员学习期间的食宿费、交通费自理）</w:t>
      </w:r>
    </w:p>
    <w:sectPr w:rsidR="003A75FD" w:rsidRPr="003A7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FD"/>
    <w:rsid w:val="000236F4"/>
    <w:rsid w:val="001F610F"/>
    <w:rsid w:val="003A75FD"/>
    <w:rsid w:val="007A1CAD"/>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4E6923"/>
  <w15:chartTrackingRefBased/>
  <w15:docId w15:val="{C9275647-E67E-C149-A4AB-CCF5F48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5F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A7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8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2022-11-07T07:55:00Z</dcterms:created>
  <dcterms:modified xsi:type="dcterms:W3CDTF">2022-11-07T07:56:00Z</dcterms:modified>
</cp:coreProperties>
</file>