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0"/>
        <w:rPr>
          <w:rFonts w:ascii="Times New Roman"/>
          <w:sz w:val="20"/>
        </w:rPr>
      </w:pPr>
    </w:p>
    <w:p>
      <w:pPr>
        <w:pStyle w:val="Heading1"/>
        <w:spacing w:before="179"/>
      </w:pPr>
      <w:bookmarkStart w:name="美国先锋理工学院工商管理硕士" w:id="1"/>
      <w:bookmarkEnd w:id="1"/>
      <w:r>
        <w:rPr>
          <w:b w:val="0"/>
        </w:rPr>
      </w:r>
      <w:r>
        <w:rPr/>
        <w:t>美国先锋理工学院工商管理硕士</w:t>
      </w:r>
    </w:p>
    <w:p>
      <w:pPr>
        <w:spacing w:line="581" w:lineRule="exact" w:before="0"/>
        <w:ind w:left="2490" w:right="2789" w:firstLine="0"/>
        <w:jc w:val="center"/>
        <w:rPr>
          <w:b/>
          <w:sz w:val="32"/>
        </w:rPr>
      </w:pPr>
      <w:r>
        <w:rPr>
          <w:b/>
          <w:sz w:val="32"/>
        </w:rPr>
        <w:t>（MBA）学位项目</w:t>
      </w:r>
    </w:p>
    <w:p>
      <w:pPr>
        <w:pStyle w:val="BodyText"/>
        <w:spacing w:before="17"/>
        <w:ind w:left="0"/>
        <w:rPr>
          <w:b/>
          <w:sz w:val="28"/>
        </w:rPr>
      </w:pPr>
    </w:p>
    <w:p>
      <w:pPr>
        <w:pStyle w:val="BodyText"/>
        <w:spacing w:line="292" w:lineRule="auto"/>
        <w:ind w:right="745" w:firstLine="480"/>
        <w:jc w:val="both"/>
      </w:pPr>
      <w:r>
        <w:rPr>
          <w:color w:val="3B3B3B"/>
          <w:spacing w:val="9"/>
        </w:rPr>
        <w:t>美国先锋理工学院</w:t>
      </w:r>
      <w:r>
        <w:rPr>
          <w:color w:val="3B3B3B"/>
        </w:rPr>
        <w:t>（Vanguard Institute of Technology</w:t>
      </w:r>
      <w:r>
        <w:rPr>
          <w:color w:val="3B3B3B"/>
          <w:spacing w:val="60"/>
        </w:rPr>
        <w:t> </w:t>
      </w:r>
      <w:r>
        <w:rPr>
          <w:color w:val="3B3B3B"/>
          <w:spacing w:val="16"/>
        </w:rPr>
        <w:t>）</w:t>
      </w:r>
      <w:r>
        <w:rPr>
          <w:color w:val="3B3B3B"/>
          <w:spacing w:val="9"/>
        </w:rPr>
        <w:t>简称 </w:t>
      </w:r>
      <w:r>
        <w:rPr>
          <w:color w:val="3B3B3B"/>
          <w:spacing w:val="5"/>
        </w:rPr>
        <w:t>VIT</w:t>
      </w:r>
      <w:r>
        <w:rPr>
          <w:color w:val="3B3B3B"/>
          <w:spacing w:val="2"/>
        </w:rPr>
        <w:t>，创</w:t>
      </w:r>
      <w:r>
        <w:rPr>
          <w:color w:val="3B3B3B"/>
          <w:spacing w:val="8"/>
        </w:rPr>
        <w:t>立于 </w:t>
      </w:r>
      <w:r>
        <w:rPr>
          <w:color w:val="3B3B3B"/>
        </w:rPr>
        <w:t>1955 年，美国著名的理工学府，坐落于美国德克萨斯州，共有四个校区， </w:t>
      </w:r>
      <w:r>
        <w:rPr>
          <w:color w:val="3B3B3B"/>
          <w:spacing w:val="7"/>
        </w:rPr>
        <w:t>法尔校区</w:t>
      </w:r>
      <w:r>
        <w:rPr>
          <w:color w:val="3B3B3B"/>
        </w:rPr>
        <w:t>（Pharr）</w:t>
      </w:r>
      <w:r>
        <w:rPr>
          <w:color w:val="3B3B3B"/>
          <w:spacing w:val="3"/>
        </w:rPr>
        <w:t>、布朗斯维尔校区(</w:t>
      </w:r>
      <w:r>
        <w:rPr>
          <w:color w:val="3B3B3B"/>
          <w:spacing w:val="-3"/>
        </w:rPr>
        <w:t>Brownsville</w:t>
      </w:r>
      <w:r>
        <w:rPr>
          <w:color w:val="3B3B3B"/>
        </w:rPr>
        <w:t>)、哈林根校区(</w:t>
      </w:r>
      <w:r>
        <w:rPr>
          <w:color w:val="3B3B3B"/>
          <w:spacing w:val="-4"/>
        </w:rPr>
        <w:t>Harlingen</w:t>
      </w:r>
      <w:r>
        <w:rPr>
          <w:color w:val="3B3B3B"/>
          <w:spacing w:val="-2"/>
        </w:rPr>
        <w:t>)、</w:t>
      </w:r>
      <w:r>
        <w:rPr>
          <w:color w:val="3B3B3B"/>
          <w:spacing w:val="-5"/>
        </w:rPr>
        <w:t>麦卡伦(</w:t>
      </w:r>
      <w:r>
        <w:rPr>
          <w:color w:val="3B3B3B"/>
          <w:spacing w:val="-4"/>
        </w:rPr>
        <w:t>McAllen)校区。学校官网： </w:t>
      </w:r>
      <w:hyperlink r:id="rId6">
        <w:r>
          <w:rPr>
            <w:color w:val="0000FF"/>
            <w:u w:val="single" w:color="0000FF"/>
          </w:rPr>
          <w:t>www.aedu.eu</w:t>
        </w:r>
      </w:hyperlink>
      <w:r>
        <w:rPr>
          <w:color w:val="3B3B3B"/>
        </w:rPr>
        <w:t>；其学位文凭受全球认可。</w:t>
      </w:r>
    </w:p>
    <w:p>
      <w:pPr>
        <w:pStyle w:val="BodyText"/>
        <w:spacing w:line="292" w:lineRule="auto"/>
        <w:ind w:right="870" w:firstLine="480"/>
        <w:jc w:val="both"/>
      </w:pPr>
      <w:r>
        <w:rPr>
          <w:color w:val="3B3B3B"/>
          <w:spacing w:val="-3"/>
        </w:rPr>
        <w:t>硕士博士学位在德州境内的学术地位非常受重视，曾被视为德州境内最具权</w:t>
      </w:r>
      <w:r>
        <w:rPr>
          <w:color w:val="3B3B3B"/>
          <w:spacing w:val="-10"/>
        </w:rPr>
        <w:t>威的研究型大学。学校的研究所曾多次被美国高等教育学院认定为德州境内最具竞</w:t>
      </w:r>
      <w:r>
        <w:rPr>
          <w:color w:val="3B3B3B"/>
          <w:spacing w:val="-2"/>
        </w:rPr>
        <w:t>争力的前 </w:t>
      </w:r>
      <w:r>
        <w:rPr>
          <w:color w:val="3B3B3B"/>
        </w:rPr>
        <w:t>5</w:t>
      </w:r>
      <w:r>
        <w:rPr>
          <w:color w:val="3B3B3B"/>
          <w:spacing w:val="6"/>
        </w:rPr>
        <w:t> 名之一，在 </w:t>
      </w:r>
      <w:r>
        <w:rPr>
          <w:color w:val="3B3B3B"/>
        </w:rPr>
        <w:t>1990 年学校获选为美国国家大学联盟成员。学校：80 </w:t>
      </w:r>
      <w:r>
        <w:rPr>
          <w:color w:val="3B3B3B"/>
          <w:spacing w:val="-5"/>
        </w:rPr>
        <w:t>多个本科专业课程，</w:t>
      </w:r>
      <w:r>
        <w:rPr>
          <w:color w:val="3B3B3B"/>
        </w:rPr>
        <w:t>50</w:t>
      </w:r>
      <w:r>
        <w:rPr>
          <w:color w:val="3B3B3B"/>
          <w:spacing w:val="-11"/>
        </w:rPr>
        <w:t> 多个硕士专业课程及 </w:t>
      </w:r>
      <w:r>
        <w:rPr>
          <w:color w:val="3B3B3B"/>
        </w:rPr>
        <w:t>10</w:t>
      </w:r>
      <w:r>
        <w:rPr>
          <w:color w:val="3B3B3B"/>
          <w:spacing w:val="-7"/>
        </w:rPr>
        <w:t> 多个硕士博士研究课程。</w:t>
      </w:r>
    </w:p>
    <w:p>
      <w:pPr>
        <w:pStyle w:val="BodyText"/>
        <w:spacing w:line="292" w:lineRule="auto"/>
        <w:ind w:right="1117" w:firstLine="480"/>
      </w:pPr>
      <w:r>
        <w:rPr/>
        <w:drawing>
          <wp:anchor distT="0" distB="0" distL="0" distR="0" allowOverlap="1" layoutInCell="1" locked="0" behindDoc="0" simplePos="0" relativeHeight="0">
            <wp:simplePos x="0" y="0"/>
            <wp:positionH relativeFrom="page">
              <wp:posOffset>1143000</wp:posOffset>
            </wp:positionH>
            <wp:positionV relativeFrom="paragraph">
              <wp:posOffset>768958</wp:posOffset>
            </wp:positionV>
            <wp:extent cx="5267218" cy="1447038"/>
            <wp:effectExtent l="0" t="0" r="0" b="0"/>
            <wp:wrapTopAndBottom/>
            <wp:docPr id="5" name="image3.jpeg"/>
            <wp:cNvGraphicFramePr>
              <a:graphicFrameLocks noChangeAspect="1"/>
            </wp:cNvGraphicFramePr>
            <a:graphic>
              <a:graphicData uri="http://schemas.openxmlformats.org/drawingml/2006/picture">
                <pic:pic>
                  <pic:nvPicPr>
                    <pic:cNvPr id="6" name="image3.jpeg"/>
                    <pic:cNvPicPr/>
                  </pic:nvPicPr>
                  <pic:blipFill>
                    <a:blip r:embed="rId7" cstate="print"/>
                    <a:stretch>
                      <a:fillRect/>
                    </a:stretch>
                  </pic:blipFill>
                  <pic:spPr>
                    <a:xfrm>
                      <a:off x="0" y="0"/>
                      <a:ext cx="5267218" cy="1447038"/>
                    </a:xfrm>
                    <a:prstGeom prst="rect">
                      <a:avLst/>
                    </a:prstGeom>
                  </pic:spPr>
                </pic:pic>
              </a:graphicData>
            </a:graphic>
          </wp:anchor>
        </w:drawing>
      </w:r>
      <w:r>
        <w:rPr>
          <w:color w:val="3B3B3B"/>
          <w:spacing w:val="-12"/>
        </w:rPr>
        <w:t>主要学位课程包括：商学院的会计学、信息系统管理、经济与金融、市场分析与营销、工商管理、人力资源管理、公共管理等课程。</w:t>
      </w:r>
    </w:p>
    <w:p>
      <w:pPr>
        <w:pStyle w:val="Heading2"/>
        <w:spacing w:before="71"/>
      </w:pPr>
      <w:bookmarkStart w:name="【项目优势】" w:id="2"/>
      <w:bookmarkEnd w:id="2"/>
      <w:r>
        <w:rPr>
          <w:b w:val="0"/>
        </w:rPr>
      </w:r>
      <w:r>
        <w:rPr/>
        <w:t>【项目优势】</w:t>
      </w:r>
    </w:p>
    <w:p>
      <w:pPr>
        <w:pStyle w:val="BodyText"/>
        <w:spacing w:before="72"/>
      </w:pPr>
      <w:r>
        <w:rPr>
          <w:color w:val="FF0000"/>
        </w:rPr>
        <w:t>美国先锋理工学硕士学位项目优势</w:t>
      </w:r>
    </w:p>
    <w:p>
      <w:pPr>
        <w:pStyle w:val="BodyText"/>
        <w:ind w:left="0"/>
        <w:rPr>
          <w:sz w:val="20"/>
        </w:rPr>
      </w:pPr>
    </w:p>
    <w:p>
      <w:pPr>
        <w:pStyle w:val="BodyText"/>
        <w:spacing w:before="14"/>
        <w:ind w:left="0"/>
        <w:rPr>
          <w:sz w:val="10"/>
        </w:rPr>
      </w:pPr>
      <w:r>
        <w:rPr/>
        <w:pict>
          <v:group style="position:absolute;margin-left:65.890999pt;margin-top:11.902578pt;width:467.8pt;height:18.8pt;mso-position-horizontal-relative:page;mso-position-vertical-relative:paragraph;z-index:-251657216;mso-wrap-distance-left:0;mso-wrap-distance-right:0" coordorigin="1318,238" coordsize="9356,376">
            <v:shape style="position:absolute;left:1317;top:239;width:3880;height:375" type="#_x0000_t75" stroked="false">
              <v:imagedata r:id="rId8" o:title=""/>
            </v:shape>
            <v:shape style="position:absolute;left:5178;top:265;width:821;height:302" type="#_x0000_t75" stroked="false">
              <v:imagedata r:id="rId9" o:title=""/>
            </v:shape>
            <v:shape style="position:absolute;left:6043;top:240;width:1644;height:370" type="#_x0000_t75" stroked="false">
              <v:imagedata r:id="rId10" o:title=""/>
            </v:shape>
            <v:shape style="position:absolute;left:7661;top:265;width:667;height:302" type="#_x0000_t75" stroked="false">
              <v:imagedata r:id="rId11" o:title=""/>
            </v:shape>
            <v:shape style="position:absolute;left:8281;top:238;width:2392;height:375" type="#_x0000_t75" stroked="false">
              <v:imagedata r:id="rId12" o:title=""/>
            </v:shape>
            <w10:wrap type="topAndBottom"/>
          </v:group>
        </w:pict>
      </w:r>
      <w:r>
        <w:rPr/>
        <w:drawing>
          <wp:anchor distT="0" distB="0" distL="0" distR="0" allowOverlap="1" layoutInCell="1" locked="0" behindDoc="0" simplePos="0" relativeHeight="2">
            <wp:simplePos x="0" y="0"/>
            <wp:positionH relativeFrom="page">
              <wp:posOffset>845337</wp:posOffset>
            </wp:positionH>
            <wp:positionV relativeFrom="paragraph">
              <wp:posOffset>500412</wp:posOffset>
            </wp:positionV>
            <wp:extent cx="5893984" cy="237744"/>
            <wp:effectExtent l="0" t="0" r="0" b="0"/>
            <wp:wrapTopAndBottom/>
            <wp:docPr id="7" name="image9.jpeg"/>
            <wp:cNvGraphicFramePr>
              <a:graphicFrameLocks noChangeAspect="1"/>
            </wp:cNvGraphicFramePr>
            <a:graphic>
              <a:graphicData uri="http://schemas.openxmlformats.org/drawingml/2006/picture">
                <pic:pic>
                  <pic:nvPicPr>
                    <pic:cNvPr id="8" name="image9.jpeg"/>
                    <pic:cNvPicPr/>
                  </pic:nvPicPr>
                  <pic:blipFill>
                    <a:blip r:embed="rId13" cstate="print"/>
                    <a:stretch>
                      <a:fillRect/>
                    </a:stretch>
                  </pic:blipFill>
                  <pic:spPr>
                    <a:xfrm>
                      <a:off x="0" y="0"/>
                      <a:ext cx="5893984" cy="237744"/>
                    </a:xfrm>
                    <a:prstGeom prst="rect">
                      <a:avLst/>
                    </a:prstGeom>
                  </pic:spPr>
                </pic:pic>
              </a:graphicData>
            </a:graphic>
          </wp:anchor>
        </w:drawing>
      </w:r>
    </w:p>
    <w:p>
      <w:pPr>
        <w:pStyle w:val="BodyText"/>
        <w:spacing w:before="13"/>
        <w:ind w:left="0"/>
        <w:rPr>
          <w:sz w:val="5"/>
        </w:rPr>
      </w:pPr>
    </w:p>
    <w:p>
      <w:pPr>
        <w:pStyle w:val="BodyText"/>
        <w:ind w:left="0"/>
        <w:rPr>
          <w:sz w:val="20"/>
        </w:rPr>
      </w:pPr>
    </w:p>
    <w:p>
      <w:pPr>
        <w:pStyle w:val="BodyText"/>
        <w:ind w:left="0"/>
        <w:rPr>
          <w:sz w:val="20"/>
        </w:rPr>
      </w:pPr>
    </w:p>
    <w:p>
      <w:pPr>
        <w:pStyle w:val="BodyText"/>
        <w:spacing w:before="8"/>
        <w:ind w:left="0"/>
        <w:rPr>
          <w:sz w:val="26"/>
        </w:rPr>
      </w:pPr>
    </w:p>
    <w:p>
      <w:pPr>
        <w:pStyle w:val="BodyText"/>
        <w:spacing w:before="37"/>
      </w:pPr>
      <w:r>
        <w:rPr>
          <w:color w:val="FF0000"/>
        </w:rPr>
        <w:t>1、硕士学位的含金量非常高</w:t>
      </w:r>
    </w:p>
    <w:p>
      <w:pPr>
        <w:pStyle w:val="BodyText"/>
        <w:spacing w:line="180" w:lineRule="auto" w:before="91"/>
        <w:ind w:right="1054" w:firstLine="480"/>
      </w:pPr>
      <w:r>
        <w:rPr>
          <w:color w:val="3B3B3B"/>
          <w:spacing w:val="-10"/>
        </w:rPr>
        <w:t>美国正牌大学学校硕士博士学位，无需出国长期攻读，国内外在职学习。在</w:t>
      </w:r>
      <w:r>
        <w:rPr>
          <w:color w:val="3B3B3B"/>
          <w:spacing w:val="-5"/>
        </w:rPr>
        <w:t>国内获得的学位证书美国校本部学习获得的学位证书具有同等的资格和效力。</w:t>
      </w:r>
    </w:p>
    <w:p>
      <w:pPr>
        <w:spacing w:after="0" w:line="180" w:lineRule="auto"/>
        <w:sectPr>
          <w:headerReference w:type="default" r:id="rId5"/>
          <w:type w:val="continuous"/>
          <w:pgSz w:w="11900" w:h="16840"/>
          <w:pgMar w:header="367" w:top="1360" w:bottom="280" w:left="1200" w:right="900"/>
        </w:sectPr>
      </w:pPr>
    </w:p>
    <w:p>
      <w:pPr>
        <w:pStyle w:val="BodyText"/>
        <w:spacing w:before="114"/>
      </w:pPr>
      <w:r>
        <w:rPr>
          <w:color w:val="FF0000"/>
        </w:rPr>
        <w:t>2、免全国联考，学校自主招生</w:t>
      </w:r>
    </w:p>
    <w:p>
      <w:pPr>
        <w:pStyle w:val="BodyText"/>
        <w:spacing w:line="180" w:lineRule="auto" w:before="90"/>
        <w:ind w:right="877" w:firstLine="480"/>
        <w:jc w:val="both"/>
      </w:pPr>
      <w:r>
        <w:rPr>
          <w:spacing w:val="-5"/>
        </w:rPr>
        <w:t>学员录取以面试成绩为主。美国先锋理工学院硕士学位项目免全国联考，入学无语言要求。更看重学员对于工作的思考,实践经验及对未来的长远规划。采用</w:t>
      </w:r>
      <w:r>
        <w:rPr>
          <w:spacing w:val="-10"/>
        </w:rPr>
        <w:t>双语教学方式，聘请中国专业学术领域最优秀的资深教授专家及国内外行业领袖授</w:t>
      </w:r>
      <w:r>
        <w:rPr>
          <w:spacing w:val="-6"/>
        </w:rPr>
        <w:t>课。</w:t>
      </w:r>
    </w:p>
    <w:p>
      <w:pPr>
        <w:pStyle w:val="BodyText"/>
        <w:spacing w:before="16"/>
        <w:ind w:left="0"/>
      </w:pPr>
    </w:p>
    <w:p>
      <w:pPr>
        <w:pStyle w:val="BodyText"/>
      </w:pPr>
      <w:r>
        <w:rPr>
          <w:color w:val="FF0000"/>
        </w:rPr>
        <w:t>3、毕业不以学术论文为主而是实践案例设计</w:t>
      </w:r>
    </w:p>
    <w:p>
      <w:pPr>
        <w:pStyle w:val="BodyText"/>
        <w:spacing w:line="180" w:lineRule="auto" w:before="93"/>
        <w:ind w:right="543" w:firstLine="480"/>
      </w:pPr>
      <w:r>
        <w:rPr/>
        <w:t>美国先锋理工学院硕士学位项目兼具国外先进理念与国内企业实际案例，更 </w:t>
      </w:r>
      <w:r>
        <w:rPr>
          <w:spacing w:val="-9"/>
        </w:rPr>
        <w:t>具指导意义。不以硕士博士论文为主，而是采用企业案例开发的形式来代替传统的工</w:t>
      </w:r>
      <w:r>
        <w:rPr>
          <w:spacing w:val="-17"/>
        </w:rPr>
        <w:t>商管理硕士博士论文，真真正正让学员通过理论来指导实践，助力学员企业的发展。</w:t>
      </w:r>
    </w:p>
    <w:p>
      <w:pPr>
        <w:pStyle w:val="BodyText"/>
        <w:spacing w:before="18"/>
      </w:pPr>
      <w:r>
        <w:rPr>
          <w:color w:val="FF0000"/>
        </w:rPr>
        <w:t>4、完善的学习培养计划</w:t>
      </w:r>
    </w:p>
    <w:p>
      <w:pPr>
        <w:pStyle w:val="BodyText"/>
        <w:spacing w:line="177" w:lineRule="auto" w:before="93"/>
        <w:ind w:right="774" w:firstLine="480"/>
        <w:jc w:val="both"/>
      </w:pPr>
      <w:r>
        <w:rPr/>
        <w:t>我们为所有参加本工商管理硕士博士的学员建立了人才培训孵化基地，并且</w:t>
      </w:r>
      <w:r>
        <w:rPr>
          <w:spacing w:val="-8"/>
        </w:rPr>
        <w:t>在学员获得硕士博士学位之后，都有机会到美国先锋理工学院的四大校区从事相关的博士及博士后学习，亲身参与学校的相关研究和教学活动。同时感受世界名校的</w:t>
      </w:r>
      <w:r>
        <w:rPr>
          <w:spacing w:val="-10"/>
        </w:rPr>
        <w:t>学习精神。整合世界高端资源，扩展人脉商机，共享国际资源。</w:t>
      </w:r>
    </w:p>
    <w:p>
      <w:pPr>
        <w:pStyle w:val="BodyText"/>
        <w:spacing w:before="8"/>
        <w:ind w:left="0"/>
        <w:rPr>
          <w:sz w:val="17"/>
        </w:rPr>
      </w:pPr>
    </w:p>
    <w:p>
      <w:pPr>
        <w:pStyle w:val="Heading2"/>
        <w:spacing w:line="498" w:lineRule="exact"/>
      </w:pPr>
      <w:bookmarkStart w:name="【项目特色】" w:id="3"/>
      <w:bookmarkEnd w:id="3"/>
      <w:r>
        <w:rPr>
          <w:b w:val="0"/>
        </w:rPr>
      </w:r>
      <w:r>
        <w:rPr/>
        <w:t>【项目特色】</w:t>
      </w:r>
    </w:p>
    <w:p>
      <w:pPr>
        <w:pStyle w:val="ListParagraph"/>
        <w:numPr>
          <w:ilvl w:val="0"/>
          <w:numId w:val="1"/>
        </w:numPr>
        <w:tabs>
          <w:tab w:pos="1227" w:val="left" w:leader="none"/>
        </w:tabs>
        <w:spacing w:line="180" w:lineRule="auto" w:before="61" w:after="0"/>
        <w:ind w:left="600" w:right="950" w:firstLine="480"/>
        <w:jc w:val="left"/>
        <w:rPr>
          <w:sz w:val="24"/>
        </w:rPr>
      </w:pPr>
      <w:r>
        <w:rPr>
          <w:sz w:val="24"/>
        </w:rPr>
        <w:t>首选美国，美国是MBA/DBA的发源地，世界大学排名前100，有3分之</w:t>
      </w:r>
      <w:r>
        <w:rPr>
          <w:spacing w:val="-12"/>
          <w:sz w:val="24"/>
        </w:rPr>
        <w:t>2 </w:t>
      </w:r>
      <w:r>
        <w:rPr>
          <w:sz w:val="24"/>
        </w:rPr>
        <w:t>都在美国。</w:t>
      </w:r>
    </w:p>
    <w:p>
      <w:pPr>
        <w:pStyle w:val="ListParagraph"/>
        <w:numPr>
          <w:ilvl w:val="0"/>
          <w:numId w:val="1"/>
        </w:numPr>
        <w:tabs>
          <w:tab w:pos="1224" w:val="left" w:leader="none"/>
        </w:tabs>
        <w:spacing w:line="357" w:lineRule="exact" w:before="0" w:after="0"/>
        <w:ind w:left="1224" w:right="0" w:hanging="144"/>
        <w:jc w:val="left"/>
        <w:rPr>
          <w:sz w:val="24"/>
        </w:rPr>
      </w:pPr>
      <w:r>
        <w:rPr>
          <w:sz w:val="24"/>
        </w:rPr>
        <w:t>美国学校的硕博文凭含金量更高</w:t>
      </w:r>
    </w:p>
    <w:p>
      <w:pPr>
        <w:pStyle w:val="ListParagraph"/>
        <w:numPr>
          <w:ilvl w:val="0"/>
          <w:numId w:val="1"/>
        </w:numPr>
        <w:tabs>
          <w:tab w:pos="1227" w:val="left" w:leader="none"/>
        </w:tabs>
        <w:spacing w:line="177" w:lineRule="auto" w:before="22" w:after="0"/>
        <w:ind w:left="600" w:right="954" w:firstLine="480"/>
        <w:jc w:val="left"/>
        <w:rPr>
          <w:sz w:val="24"/>
        </w:rPr>
      </w:pPr>
      <w:r>
        <w:rPr>
          <w:sz w:val="24"/>
        </w:rPr>
        <w:t>性价比最高，市场上美国学校的MAB学费均在20万以上，DBA学费在</w:t>
      </w:r>
      <w:r>
        <w:rPr>
          <w:spacing w:val="-7"/>
          <w:sz w:val="24"/>
        </w:rPr>
        <w:t>40 </w:t>
      </w:r>
      <w:r>
        <w:rPr>
          <w:sz w:val="24"/>
        </w:rPr>
        <w:t>万以上，最贵的美国DBA学费99万（美国亚利桑那州立大学</w:t>
      </w:r>
      <w:r>
        <w:rPr>
          <w:spacing w:val="-120"/>
          <w:sz w:val="24"/>
        </w:rPr>
        <w:t>）</w:t>
      </w:r>
      <w:r>
        <w:rPr>
          <w:sz w:val="24"/>
        </w:rPr>
        <w:t>。</w:t>
      </w:r>
    </w:p>
    <w:p>
      <w:pPr>
        <w:pStyle w:val="ListParagraph"/>
        <w:numPr>
          <w:ilvl w:val="0"/>
          <w:numId w:val="1"/>
        </w:numPr>
        <w:tabs>
          <w:tab w:pos="1224" w:val="left" w:leader="none"/>
        </w:tabs>
        <w:spacing w:line="360" w:lineRule="exact" w:before="0" w:after="0"/>
        <w:ind w:left="1224" w:right="0" w:hanging="144"/>
        <w:jc w:val="left"/>
        <w:rPr>
          <w:sz w:val="24"/>
        </w:rPr>
      </w:pPr>
      <w:r>
        <w:rPr>
          <w:sz w:val="24"/>
        </w:rPr>
        <w:t>花更低的学费，拿到同等效力的硕博文凭。</w:t>
      </w:r>
    </w:p>
    <w:p>
      <w:pPr>
        <w:pStyle w:val="ListParagraph"/>
        <w:numPr>
          <w:ilvl w:val="0"/>
          <w:numId w:val="1"/>
        </w:numPr>
        <w:tabs>
          <w:tab w:pos="1227" w:val="left" w:leader="none"/>
        </w:tabs>
        <w:spacing w:line="177" w:lineRule="auto" w:before="22" w:after="0"/>
        <w:ind w:left="600" w:right="1047" w:firstLine="480"/>
        <w:jc w:val="left"/>
        <w:rPr>
          <w:sz w:val="24"/>
        </w:rPr>
      </w:pPr>
      <w:r>
        <w:rPr>
          <w:spacing w:val="-8"/>
          <w:sz w:val="24"/>
        </w:rPr>
        <w:t>我们全国各地均有教学中心，意味着遍布的校友更多，实时互动交流，享</w:t>
      </w:r>
      <w:r>
        <w:rPr>
          <w:spacing w:val="-6"/>
          <w:sz w:val="24"/>
        </w:rPr>
        <w:t>受庞大的人脉平台和信息资源。</w:t>
      </w:r>
    </w:p>
    <w:p>
      <w:pPr>
        <w:pStyle w:val="ListParagraph"/>
        <w:numPr>
          <w:ilvl w:val="0"/>
          <w:numId w:val="1"/>
        </w:numPr>
        <w:tabs>
          <w:tab w:pos="1227" w:val="left" w:leader="none"/>
        </w:tabs>
        <w:spacing w:line="177" w:lineRule="auto" w:before="2" w:after="0"/>
        <w:ind w:left="600" w:right="1047" w:firstLine="480"/>
        <w:jc w:val="left"/>
        <w:rPr>
          <w:sz w:val="24"/>
        </w:rPr>
      </w:pPr>
      <w:r>
        <w:rPr>
          <w:spacing w:val="-8"/>
          <w:sz w:val="24"/>
        </w:rPr>
        <w:t>教授不局限于某一高校，均来自北大清华复旦交大浙大，师资更丰富，通</w:t>
      </w:r>
      <w:r>
        <w:rPr>
          <w:spacing w:val="-7"/>
          <w:sz w:val="24"/>
        </w:rPr>
        <w:t>理论实战国际，享受更多名校的师资、课程体验。</w:t>
      </w:r>
    </w:p>
    <w:p>
      <w:pPr>
        <w:spacing w:after="0" w:line="177" w:lineRule="auto"/>
        <w:jc w:val="left"/>
        <w:rPr>
          <w:sz w:val="24"/>
        </w:rPr>
        <w:sectPr>
          <w:pgSz w:w="11900" w:h="16840"/>
          <w:pgMar w:header="367" w:footer="0" w:top="1360" w:bottom="280" w:left="1200" w:right="900"/>
        </w:sectPr>
      </w:pPr>
    </w:p>
    <w:p>
      <w:pPr>
        <w:pStyle w:val="BodyText"/>
        <w:spacing w:before="12"/>
        <w:ind w:left="0"/>
        <w:rPr>
          <w:sz w:val="3"/>
        </w:rPr>
      </w:pPr>
    </w:p>
    <w:p>
      <w:pPr>
        <w:pStyle w:val="BodyText"/>
        <w:rPr>
          <w:sz w:val="20"/>
        </w:rPr>
      </w:pPr>
      <w:r>
        <w:rPr>
          <w:sz w:val="20"/>
        </w:rPr>
        <w:drawing>
          <wp:inline distT="0" distB="0" distL="0" distR="0">
            <wp:extent cx="5257799" cy="1575816"/>
            <wp:effectExtent l="0" t="0" r="0" b="0"/>
            <wp:docPr id="9" name="image10.png"/>
            <wp:cNvGraphicFramePr>
              <a:graphicFrameLocks noChangeAspect="1"/>
            </wp:cNvGraphicFramePr>
            <a:graphic>
              <a:graphicData uri="http://schemas.openxmlformats.org/drawingml/2006/picture">
                <pic:pic>
                  <pic:nvPicPr>
                    <pic:cNvPr id="10" name="image10.png"/>
                    <pic:cNvPicPr/>
                  </pic:nvPicPr>
                  <pic:blipFill>
                    <a:blip r:embed="rId14" cstate="print"/>
                    <a:stretch>
                      <a:fillRect/>
                    </a:stretch>
                  </pic:blipFill>
                  <pic:spPr>
                    <a:xfrm>
                      <a:off x="0" y="0"/>
                      <a:ext cx="5257799" cy="1575816"/>
                    </a:xfrm>
                    <a:prstGeom prst="rect">
                      <a:avLst/>
                    </a:prstGeom>
                  </pic:spPr>
                </pic:pic>
              </a:graphicData>
            </a:graphic>
          </wp:inline>
        </w:drawing>
      </w:r>
      <w:r>
        <w:rPr>
          <w:sz w:val="20"/>
        </w:rPr>
      </w:r>
    </w:p>
    <w:p>
      <w:pPr>
        <w:pStyle w:val="Heading2"/>
        <w:spacing w:before="24"/>
      </w:pPr>
      <w:bookmarkStart w:name="【权威认证】" w:id="4"/>
      <w:bookmarkEnd w:id="4"/>
      <w:r>
        <w:rPr>
          <w:b w:val="0"/>
        </w:rPr>
      </w:r>
      <w:r>
        <w:rPr/>
        <w:t>【权威认证】</w:t>
      </w:r>
    </w:p>
    <w:p>
      <w:pPr>
        <w:pStyle w:val="ListParagraph"/>
        <w:numPr>
          <w:ilvl w:val="0"/>
          <w:numId w:val="2"/>
        </w:numPr>
        <w:tabs>
          <w:tab w:pos="744" w:val="left" w:leader="none"/>
        </w:tabs>
        <w:spacing w:line="240" w:lineRule="auto" w:before="75" w:after="0"/>
        <w:ind w:left="744" w:right="0" w:hanging="144"/>
        <w:jc w:val="left"/>
        <w:rPr>
          <w:sz w:val="24"/>
        </w:rPr>
      </w:pPr>
      <w:r>
        <w:rPr>
          <w:color w:val="FF0000"/>
          <w:sz w:val="24"/>
        </w:rPr>
        <w:t>中国教育部涉外监管网认证</w:t>
      </w:r>
    </w:p>
    <w:p>
      <w:pPr>
        <w:pStyle w:val="BodyText"/>
        <w:spacing w:before="121"/>
      </w:pPr>
      <w:r>
        <w:rPr>
          <w:color w:val="FF0000"/>
          <w:u w:val="single" w:color="FF0000"/>
        </w:rPr>
        <w:t>（</w:t>
      </w:r>
      <w:hyperlink r:id="rId15">
        <w:r>
          <w:rPr>
            <w:color w:val="FF0000"/>
            <w:u w:val="single" w:color="FF0000"/>
          </w:rPr>
          <w:t>www.jsj.edu.cn</w:t>
        </w:r>
      </w:hyperlink>
      <w:r>
        <w:rPr>
          <w:color w:val="FF0000"/>
          <w:u w:val="single" w:color="FF0000"/>
        </w:rPr>
        <w:t>）</w:t>
      </w:r>
    </w:p>
    <w:p>
      <w:pPr>
        <w:pStyle w:val="BodyText"/>
        <w:spacing w:before="122"/>
      </w:pPr>
      <w:r>
        <w:rPr>
          <w:color w:val="FF0000"/>
        </w:rPr>
        <w:t>点击“国外院校-美国“</w:t>
      </w:r>
    </w:p>
    <w:p>
      <w:pPr>
        <w:pStyle w:val="BodyText"/>
        <w:tabs>
          <w:tab w:pos="4492" w:val="left" w:leader="none"/>
        </w:tabs>
        <w:spacing w:line="292" w:lineRule="auto" w:before="119"/>
        <w:ind w:right="906"/>
      </w:pPr>
      <w:r>
        <w:rPr/>
        <w:drawing>
          <wp:anchor distT="0" distB="0" distL="0" distR="0" allowOverlap="1" layoutInCell="1" locked="0" behindDoc="0" simplePos="0" relativeHeight="3">
            <wp:simplePos x="0" y="0"/>
            <wp:positionH relativeFrom="page">
              <wp:posOffset>914400</wp:posOffset>
            </wp:positionH>
            <wp:positionV relativeFrom="paragraph">
              <wp:posOffset>780528</wp:posOffset>
            </wp:positionV>
            <wp:extent cx="4031481" cy="3063621"/>
            <wp:effectExtent l="0" t="0" r="0" b="0"/>
            <wp:wrapTopAndBottom/>
            <wp:docPr id="11" name="image11.jpeg"/>
            <wp:cNvGraphicFramePr>
              <a:graphicFrameLocks noChangeAspect="1"/>
            </wp:cNvGraphicFramePr>
            <a:graphic>
              <a:graphicData uri="http://schemas.openxmlformats.org/drawingml/2006/picture">
                <pic:pic>
                  <pic:nvPicPr>
                    <pic:cNvPr id="12" name="image11.jpeg"/>
                    <pic:cNvPicPr/>
                  </pic:nvPicPr>
                  <pic:blipFill>
                    <a:blip r:embed="rId16" cstate="print"/>
                    <a:stretch>
                      <a:fillRect/>
                    </a:stretch>
                  </pic:blipFill>
                  <pic:spPr>
                    <a:xfrm>
                      <a:off x="0" y="0"/>
                      <a:ext cx="4031481" cy="3063621"/>
                    </a:xfrm>
                    <a:prstGeom prst="rect">
                      <a:avLst/>
                    </a:prstGeom>
                  </pic:spPr>
                </pic:pic>
              </a:graphicData>
            </a:graphic>
          </wp:anchor>
        </w:drawing>
      </w:r>
      <w:r>
        <w:rPr>
          <w:color w:val="FF0000"/>
          <w:spacing w:val="57"/>
        </w:rPr>
        <w:t>找</w:t>
      </w:r>
      <w:r>
        <w:rPr>
          <w:color w:val="FF0000"/>
        </w:rPr>
        <w:t>到</w:t>
      </w:r>
      <w:r>
        <w:rPr>
          <w:color w:val="FF0000"/>
          <w:spacing w:val="44"/>
        </w:rPr>
        <w:t> </w:t>
      </w:r>
      <w:r>
        <w:rPr>
          <w:color w:val="FF0000"/>
        </w:rPr>
        <w:t>VIT</w:t>
      </w:r>
      <w:r>
        <w:rPr>
          <w:color w:val="FF0000"/>
          <w:spacing w:val="46"/>
        </w:rPr>
        <w:t> </w:t>
      </w:r>
      <w:r>
        <w:rPr>
          <w:color w:val="FF0000"/>
          <w:spacing w:val="57"/>
        </w:rPr>
        <w:t>所在州</w:t>
      </w:r>
      <w:r>
        <w:rPr>
          <w:color w:val="FF0000"/>
          <w:spacing w:val="-5"/>
        </w:rPr>
        <w:t>-Texas</w:t>
      </w:r>
      <w:r>
        <w:rPr>
          <w:color w:val="FF0000"/>
          <w:spacing w:val="-27"/>
        </w:rPr>
        <w:t> </w:t>
      </w:r>
      <w:r>
        <w:rPr>
          <w:color w:val="FF0000"/>
        </w:rPr>
        <w:t>，</w:t>
      </w:r>
      <w:r>
        <w:rPr>
          <w:color w:val="FF0000"/>
          <w:spacing w:val="-14"/>
        </w:rPr>
        <w:t> </w:t>
      </w:r>
      <w:r>
        <w:rPr>
          <w:color w:val="FF0000"/>
          <w:spacing w:val="57"/>
        </w:rPr>
        <w:t>点</w:t>
      </w:r>
      <w:r>
        <w:rPr>
          <w:color w:val="FF0000"/>
        </w:rPr>
        <w:t>击</w:t>
        <w:tab/>
      </w:r>
      <w:r>
        <w:rPr>
          <w:color w:val="FF0000"/>
          <w:spacing w:val="55"/>
        </w:rPr>
        <w:t>进</w:t>
      </w:r>
      <w:r>
        <w:rPr>
          <w:color w:val="FF0000"/>
          <w:spacing w:val="57"/>
        </w:rPr>
        <w:t>入</w:t>
      </w:r>
      <w:r>
        <w:rPr>
          <w:color w:val="FF0000"/>
          <w:spacing w:val="55"/>
        </w:rPr>
        <w:t>即</w:t>
      </w:r>
      <w:r>
        <w:rPr>
          <w:color w:val="FF0000"/>
          <w:spacing w:val="57"/>
        </w:rPr>
        <w:t>可看到</w:t>
      </w:r>
      <w:r>
        <w:rPr>
          <w:color w:val="FF0000"/>
          <w:spacing w:val="-3"/>
        </w:rPr>
        <w:t>-Vanguard</w:t>
      </w:r>
      <w:r>
        <w:rPr>
          <w:color w:val="FF0000"/>
          <w:spacing w:val="38"/>
        </w:rPr>
        <w:t> </w:t>
      </w:r>
      <w:r>
        <w:rPr>
          <w:color w:val="FF0000"/>
        </w:rPr>
        <w:t>institute</w:t>
      </w:r>
      <w:r>
        <w:rPr>
          <w:color w:val="FF0000"/>
          <w:spacing w:val="55"/>
        </w:rPr>
        <w:t> </w:t>
      </w:r>
      <w:r>
        <w:rPr>
          <w:color w:val="FF0000"/>
        </w:rPr>
        <w:t>of technology</w:t>
      </w:r>
    </w:p>
    <w:p>
      <w:pPr>
        <w:pStyle w:val="BodyText"/>
        <w:spacing w:before="6"/>
        <w:ind w:left="0"/>
        <w:rPr>
          <w:sz w:val="46"/>
        </w:rPr>
      </w:pPr>
    </w:p>
    <w:p>
      <w:pPr>
        <w:pStyle w:val="ListParagraph"/>
        <w:numPr>
          <w:ilvl w:val="0"/>
          <w:numId w:val="2"/>
        </w:numPr>
        <w:tabs>
          <w:tab w:pos="747" w:val="left" w:leader="none"/>
        </w:tabs>
        <w:spacing w:line="292" w:lineRule="auto" w:before="0" w:after="0"/>
        <w:ind w:left="600" w:right="7008" w:firstLine="0"/>
        <w:jc w:val="left"/>
        <w:rPr>
          <w:sz w:val="24"/>
        </w:rPr>
      </w:pPr>
      <w:r>
        <w:rPr/>
        <w:pict>
          <v:rect style="position:absolute;margin-left:90pt;margin-top:50.707886pt;width:3.96pt;height:.6pt;mso-position-horizontal-relative:page;mso-position-vertical-relative:paragraph;z-index:-251915264" filled="true" fillcolor="#ff0000" stroked="false">
            <v:fill type="solid"/>
            <w10:wrap type="none"/>
          </v:rect>
        </w:pict>
      </w:r>
      <w:r>
        <w:rPr>
          <w:color w:val="FF0000"/>
          <w:sz w:val="24"/>
        </w:rPr>
        <w:t>中国留学网备案</w:t>
      </w:r>
      <w:r>
        <w:rPr>
          <w:color w:val="FF0000"/>
          <w:spacing w:val="-1"/>
          <w:sz w:val="24"/>
        </w:rPr>
        <w:t>(</w:t>
      </w:r>
      <w:hyperlink r:id="rId17">
        <w:r>
          <w:rPr>
            <w:color w:val="0000FF"/>
            <w:spacing w:val="-1"/>
            <w:sz w:val="24"/>
            <w:u w:val="single" w:color="0000FF"/>
          </w:rPr>
          <w:t>www.cscse.edu.cn</w:t>
        </w:r>
      </w:hyperlink>
      <w:r>
        <w:rPr>
          <w:color w:val="FF0000"/>
          <w:spacing w:val="-1"/>
          <w:sz w:val="24"/>
          <w:u w:val="single" w:color="0000FF"/>
        </w:rPr>
        <w:t>)</w:t>
      </w:r>
    </w:p>
    <w:p>
      <w:pPr>
        <w:spacing w:after="0" w:line="292" w:lineRule="auto"/>
        <w:jc w:val="left"/>
        <w:rPr>
          <w:sz w:val="24"/>
        </w:rPr>
        <w:sectPr>
          <w:pgSz w:w="11900" w:h="16840"/>
          <w:pgMar w:header="367" w:footer="0" w:top="1360" w:bottom="280" w:left="1200" w:right="900"/>
        </w:sectPr>
      </w:pPr>
    </w:p>
    <w:p>
      <w:pPr>
        <w:pStyle w:val="BodyText"/>
        <w:spacing w:before="114"/>
      </w:pPr>
      <w:r>
        <w:rPr>
          <w:color w:val="FF0000"/>
        </w:rPr>
        <w:t>出国留学--院校推荐--院校名单—教育部公布的 46 个国家名单</w:t>
      </w:r>
    </w:p>
    <w:p>
      <w:pPr>
        <w:pStyle w:val="BodyText"/>
        <w:spacing w:line="292" w:lineRule="auto" w:before="119"/>
        <w:ind w:right="829"/>
      </w:pPr>
      <w:r>
        <w:rPr/>
        <w:pict>
          <v:group style="position:absolute;margin-left:90pt;margin-top:66.017868pt;width:415pt;height:310.8pt;mso-position-horizontal-relative:page;mso-position-vertical-relative:paragraph;z-index:-251652096;mso-wrap-distance-left:0;mso-wrap-distance-right:0" coordorigin="1800,1320" coordsize="8300,6216">
            <v:shape style="position:absolute;left:1800;top:1320;width:8300;height:6216" type="#_x0000_t75" stroked="false">
              <v:imagedata r:id="rId18" o:title=""/>
            </v:shape>
            <v:shapetype id="_x0000_t202" o:spt="202" coordsize="21600,21600" path="m,l,21600r21600,l21600,xe">
              <v:stroke joinstyle="miter"/>
              <v:path gradientshapeok="t" o:connecttype="rect"/>
            </v:shapetype>
            <v:shape style="position:absolute;left:1800;top:7163;width:2327;height:317" type="#_x0000_t202" filled="false" stroked="false">
              <v:textbox inset="0,0,0,0">
                <w:txbxContent>
                  <w:p>
                    <w:pPr>
                      <w:numPr>
                        <w:ilvl w:val="0"/>
                        <w:numId w:val="3"/>
                      </w:numPr>
                      <w:tabs>
                        <w:tab w:pos="147" w:val="left" w:leader="none"/>
                      </w:tabs>
                      <w:spacing w:line="317" w:lineRule="exact" w:before="0"/>
                      <w:ind w:left="146" w:right="0" w:hanging="147"/>
                      <w:jc w:val="left"/>
                      <w:rPr>
                        <w:sz w:val="24"/>
                      </w:rPr>
                    </w:pPr>
                    <w:r>
                      <w:rPr>
                        <w:color w:val="FF0000"/>
                        <w:sz w:val="24"/>
                      </w:rPr>
                      <w:t>中国驻美大使馆认证</w:t>
                    </w:r>
                  </w:p>
                </w:txbxContent>
              </v:textbox>
              <w10:wrap type="none"/>
            </v:shape>
            <w10:wrap type="topAndBottom"/>
          </v:group>
        </w:pict>
      </w:r>
      <w:r>
        <w:rPr>
          <w:color w:val="FF0000"/>
        </w:rPr>
        <w:t>教育部第一批公布的 10 个国家留学名单--美国-- Texas -- Vanguard institute of technology</w:t>
      </w:r>
    </w:p>
    <w:p>
      <w:pPr>
        <w:pStyle w:val="BodyText"/>
      </w:pPr>
      <w:r>
        <w:rPr>
          <w:color w:val="FF0000"/>
          <w:u w:val="single" w:color="FF0000"/>
        </w:rPr>
        <w:t>(www.china-embassy.org)</w:t>
      </w:r>
    </w:p>
    <w:p>
      <w:pPr>
        <w:pStyle w:val="ListParagraph"/>
        <w:numPr>
          <w:ilvl w:val="0"/>
          <w:numId w:val="2"/>
        </w:numPr>
        <w:tabs>
          <w:tab w:pos="747" w:val="left" w:leader="none"/>
        </w:tabs>
        <w:spacing w:line="292" w:lineRule="auto" w:before="107" w:after="0"/>
        <w:ind w:left="600" w:right="5242" w:firstLine="0"/>
        <w:jc w:val="left"/>
        <w:rPr>
          <w:sz w:val="24"/>
        </w:rPr>
      </w:pPr>
      <w:r>
        <w:rPr>
          <w:color w:val="FF0000"/>
          <w:sz w:val="24"/>
        </w:rPr>
        <w:t>国际学术评估委员会（ICAAE）</w:t>
      </w:r>
      <w:r>
        <w:rPr>
          <w:color w:val="FF0000"/>
          <w:spacing w:val="-14"/>
          <w:sz w:val="24"/>
        </w:rPr>
        <w:t>认证</w:t>
      </w:r>
      <w:r>
        <w:rPr>
          <w:color w:val="FF0000"/>
          <w:sz w:val="24"/>
          <w:u w:val="single" w:color="FF0000"/>
        </w:rPr>
        <w:t>(www.icaae.org)</w:t>
      </w:r>
    </w:p>
    <w:p>
      <w:pPr>
        <w:pStyle w:val="ListParagraph"/>
        <w:numPr>
          <w:ilvl w:val="0"/>
          <w:numId w:val="2"/>
        </w:numPr>
        <w:tabs>
          <w:tab w:pos="744" w:val="left" w:leader="none"/>
        </w:tabs>
        <w:spacing w:line="441" w:lineRule="exact" w:before="0" w:after="0"/>
        <w:ind w:left="744" w:right="0" w:hanging="144"/>
        <w:jc w:val="left"/>
        <w:rPr>
          <w:sz w:val="24"/>
        </w:rPr>
      </w:pPr>
      <w:r>
        <w:rPr>
          <w:color w:val="FF0000"/>
          <w:sz w:val="24"/>
        </w:rPr>
        <w:t>上海人才评估鉴定中心认证</w:t>
      </w:r>
    </w:p>
    <w:p>
      <w:pPr>
        <w:pStyle w:val="BodyText"/>
        <w:spacing w:before="119"/>
      </w:pPr>
      <w:r>
        <w:rPr>
          <w:color w:val="FF0000"/>
          <w:u w:val="single" w:color="FF0000"/>
        </w:rPr>
        <w:t>（</w:t>
      </w:r>
      <w:hyperlink r:id="rId19">
        <w:r>
          <w:rPr>
            <w:color w:val="FF0000"/>
            <w:u w:val="single" w:color="FF0000"/>
          </w:rPr>
          <w:t>www.china-ta.org</w:t>
        </w:r>
      </w:hyperlink>
      <w:r>
        <w:rPr>
          <w:color w:val="FF0000"/>
          <w:u w:val="single" w:color="FF0000"/>
        </w:rPr>
        <w:t>）</w:t>
      </w:r>
    </w:p>
    <w:p>
      <w:pPr>
        <w:pStyle w:val="ListParagraph"/>
        <w:numPr>
          <w:ilvl w:val="0"/>
          <w:numId w:val="2"/>
        </w:numPr>
        <w:tabs>
          <w:tab w:pos="744" w:val="left" w:leader="none"/>
        </w:tabs>
        <w:spacing w:line="240" w:lineRule="auto" w:before="124" w:after="0"/>
        <w:ind w:left="744" w:right="0" w:hanging="144"/>
        <w:jc w:val="left"/>
        <w:rPr>
          <w:sz w:val="24"/>
        </w:rPr>
      </w:pPr>
      <w:r>
        <w:rPr>
          <w:color w:val="FF0000"/>
          <w:sz w:val="24"/>
        </w:rPr>
        <w:t>美国州政府认证</w:t>
      </w:r>
    </w:p>
    <w:p>
      <w:pPr>
        <w:spacing w:after="0" w:line="240" w:lineRule="auto"/>
        <w:jc w:val="left"/>
        <w:rPr>
          <w:sz w:val="24"/>
        </w:rPr>
        <w:sectPr>
          <w:pgSz w:w="11900" w:h="16840"/>
          <w:pgMar w:header="367" w:footer="0" w:top="1360" w:bottom="280" w:left="1200" w:right="900"/>
        </w:sectPr>
      </w:pPr>
    </w:p>
    <w:p>
      <w:pPr>
        <w:pStyle w:val="Heading2"/>
        <w:spacing w:before="83"/>
      </w:pPr>
      <w:r>
        <w:rPr/>
        <w:drawing>
          <wp:anchor distT="0" distB="0" distL="0" distR="0" allowOverlap="1" layoutInCell="1" locked="0" behindDoc="0" simplePos="0" relativeHeight="7">
            <wp:simplePos x="0" y="0"/>
            <wp:positionH relativeFrom="page">
              <wp:posOffset>1143000</wp:posOffset>
            </wp:positionH>
            <wp:positionV relativeFrom="paragraph">
              <wp:posOffset>465042</wp:posOffset>
            </wp:positionV>
            <wp:extent cx="4898136" cy="4872228"/>
            <wp:effectExtent l="0" t="0" r="0" b="0"/>
            <wp:wrapTopAndBottom/>
            <wp:docPr id="13" name="image13.jpeg"/>
            <wp:cNvGraphicFramePr>
              <a:graphicFrameLocks noChangeAspect="1"/>
            </wp:cNvGraphicFramePr>
            <a:graphic>
              <a:graphicData uri="http://schemas.openxmlformats.org/drawingml/2006/picture">
                <pic:pic>
                  <pic:nvPicPr>
                    <pic:cNvPr id="14" name="image13.jpeg"/>
                    <pic:cNvPicPr/>
                  </pic:nvPicPr>
                  <pic:blipFill>
                    <a:blip r:embed="rId20" cstate="print"/>
                    <a:stretch>
                      <a:fillRect/>
                    </a:stretch>
                  </pic:blipFill>
                  <pic:spPr>
                    <a:xfrm>
                      <a:off x="0" y="0"/>
                      <a:ext cx="4898136" cy="4872228"/>
                    </a:xfrm>
                    <a:prstGeom prst="rect">
                      <a:avLst/>
                    </a:prstGeom>
                  </pic:spPr>
                </pic:pic>
              </a:graphicData>
            </a:graphic>
          </wp:anchor>
        </w:drawing>
      </w:r>
      <w:bookmarkStart w:name="【美国校区地图】" w:id="5"/>
      <w:bookmarkEnd w:id="5"/>
      <w:r>
        <w:rPr>
          <w:b w:val="0"/>
        </w:rPr>
      </w:r>
      <w:r>
        <w:rPr/>
        <w:t>【美国校区地图】</w:t>
      </w:r>
    </w:p>
    <w:p>
      <w:pPr>
        <w:spacing w:before="269"/>
        <w:ind w:left="600" w:right="0" w:firstLine="0"/>
        <w:jc w:val="left"/>
        <w:rPr>
          <w:b/>
          <w:sz w:val="28"/>
        </w:rPr>
      </w:pPr>
      <w:r>
        <w:rPr>
          <w:b/>
          <w:sz w:val="28"/>
        </w:rPr>
        <w:t>【课程设置】</w:t>
      </w:r>
    </w:p>
    <w:p>
      <w:pPr>
        <w:pStyle w:val="ListParagraph"/>
        <w:numPr>
          <w:ilvl w:val="1"/>
          <w:numId w:val="2"/>
        </w:numPr>
        <w:tabs>
          <w:tab w:pos="1344" w:val="left" w:leader="none"/>
        </w:tabs>
        <w:spacing w:line="240" w:lineRule="auto" w:before="72" w:after="0"/>
        <w:ind w:left="1344" w:right="0" w:hanging="264"/>
        <w:jc w:val="left"/>
        <w:rPr>
          <w:sz w:val="24"/>
        </w:rPr>
      </w:pPr>
      <w:r>
        <w:rPr>
          <w:sz w:val="24"/>
        </w:rPr>
        <w:t>1、开设核心课程+选修课+国内外游学模块。</w:t>
      </w:r>
    </w:p>
    <w:p>
      <w:pPr>
        <w:pStyle w:val="ListParagraph"/>
        <w:numPr>
          <w:ilvl w:val="1"/>
          <w:numId w:val="2"/>
        </w:numPr>
        <w:tabs>
          <w:tab w:pos="1344" w:val="left" w:leader="none"/>
        </w:tabs>
        <w:spacing w:line="292" w:lineRule="auto" w:before="119" w:after="0"/>
        <w:ind w:left="600" w:right="966" w:firstLine="480"/>
        <w:jc w:val="left"/>
        <w:rPr>
          <w:sz w:val="24"/>
        </w:rPr>
      </w:pPr>
      <w:r>
        <w:rPr>
          <w:sz w:val="24"/>
        </w:rPr>
        <w:t>2</w:t>
      </w:r>
      <w:r>
        <w:rPr>
          <w:spacing w:val="-5"/>
          <w:sz w:val="24"/>
        </w:rPr>
        <w:t>、按照全球一流学位课程标准和国务院学位办《学位研究生培养方案》</w:t>
      </w:r>
      <w:r>
        <w:rPr>
          <w:spacing w:val="-4"/>
          <w:sz w:val="24"/>
        </w:rPr>
        <w:t>要求设置。</w:t>
      </w:r>
    </w:p>
    <w:p>
      <w:pPr>
        <w:pStyle w:val="ListParagraph"/>
        <w:numPr>
          <w:ilvl w:val="1"/>
          <w:numId w:val="2"/>
        </w:numPr>
        <w:tabs>
          <w:tab w:pos="1344" w:val="left" w:leader="none"/>
        </w:tabs>
        <w:spacing w:line="292" w:lineRule="auto" w:before="3" w:after="0"/>
        <w:ind w:left="600" w:right="1114" w:firstLine="480"/>
        <w:jc w:val="left"/>
        <w:rPr>
          <w:sz w:val="24"/>
        </w:rPr>
      </w:pPr>
      <w:r>
        <w:rPr>
          <w:sz w:val="24"/>
        </w:rPr>
        <w:t>3</w:t>
      </w:r>
      <w:r>
        <w:rPr>
          <w:spacing w:val="-10"/>
          <w:sz w:val="24"/>
        </w:rPr>
        <w:t>、国际最新理论与实战案例相结合、以及精心设计的管理与领导力课程的专业硕士化教学体系。</w:t>
      </w:r>
    </w:p>
    <w:p>
      <w:pPr>
        <w:spacing w:after="0" w:line="292" w:lineRule="auto"/>
        <w:jc w:val="left"/>
        <w:rPr>
          <w:sz w:val="24"/>
        </w:rPr>
        <w:sectPr>
          <w:pgSz w:w="11900" w:h="16840"/>
          <w:pgMar w:header="367" w:footer="0" w:top="1360" w:bottom="280" w:left="1200" w:right="900"/>
        </w:sectPr>
      </w:pPr>
    </w:p>
    <w:p>
      <w:pPr>
        <w:pStyle w:val="BodyText"/>
        <w:ind w:left="0"/>
        <w:rPr>
          <w:sz w:val="20"/>
        </w:rPr>
      </w:pPr>
    </w:p>
    <w:p>
      <w:pPr>
        <w:pStyle w:val="BodyText"/>
        <w:spacing w:before="9"/>
        <w:ind w:left="0"/>
        <w:rPr>
          <w:sz w:val="27"/>
        </w:rPr>
      </w:pPr>
    </w:p>
    <w:tbl>
      <w:tblPr>
        <w:tblW w:w="0" w:type="auto"/>
        <w:jc w:val="left"/>
        <w:tblInd w:w="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080"/>
        <w:gridCol w:w="1134"/>
      </w:tblGrid>
      <w:tr>
        <w:trPr>
          <w:trHeight w:val="766" w:hRule="atLeast"/>
        </w:trPr>
        <w:tc>
          <w:tcPr>
            <w:tcW w:w="8080" w:type="dxa"/>
            <w:shd w:val="clear" w:color="auto" w:fill="FF0000"/>
          </w:tcPr>
          <w:p>
            <w:pPr>
              <w:pStyle w:val="TableParagraph"/>
              <w:spacing w:before="198"/>
              <w:ind w:left="3548" w:right="3522"/>
              <w:jc w:val="center"/>
              <w:rPr>
                <w:sz w:val="24"/>
              </w:rPr>
            </w:pPr>
            <w:r>
              <w:rPr>
                <w:color w:val="FFFFFF"/>
                <w:sz w:val="24"/>
              </w:rPr>
              <w:t>课程名称</w:t>
            </w:r>
          </w:p>
        </w:tc>
        <w:tc>
          <w:tcPr>
            <w:tcW w:w="1134" w:type="dxa"/>
            <w:shd w:val="clear" w:color="auto" w:fill="FF0000"/>
          </w:tcPr>
          <w:p>
            <w:pPr>
              <w:pStyle w:val="TableParagraph"/>
              <w:spacing w:before="198"/>
              <w:ind w:left="234" w:right="100"/>
              <w:jc w:val="center"/>
              <w:rPr>
                <w:sz w:val="24"/>
              </w:rPr>
            </w:pPr>
            <w:r>
              <w:rPr>
                <w:color w:val="FFFFFF"/>
                <w:sz w:val="24"/>
              </w:rPr>
              <w:t>类型</w:t>
            </w:r>
          </w:p>
        </w:tc>
      </w:tr>
      <w:tr>
        <w:trPr>
          <w:trHeight w:val="6118" w:hRule="atLeast"/>
        </w:trPr>
        <w:tc>
          <w:tcPr>
            <w:tcW w:w="8080" w:type="dxa"/>
          </w:tcPr>
          <w:p>
            <w:pPr>
              <w:pStyle w:val="TableParagraph"/>
              <w:tabs>
                <w:tab w:pos="1573" w:val="left" w:leader="none"/>
                <w:tab w:pos="2169" w:val="left" w:leader="none"/>
                <w:tab w:pos="3609" w:val="left" w:leader="none"/>
              </w:tabs>
              <w:spacing w:line="360" w:lineRule="auto" w:before="197"/>
              <w:ind w:left="253" w:right="3192"/>
              <w:rPr>
                <w:sz w:val="24"/>
              </w:rPr>
            </w:pPr>
            <w:r>
              <w:rPr>
                <w:sz w:val="24"/>
              </w:rPr>
              <w:t>人力资源管理</w:t>
              <w:tab/>
              <w:t>Human Resource Management</w:t>
            </w:r>
            <w:r>
              <w:rPr>
                <w:spacing w:val="-6"/>
                <w:sz w:val="24"/>
              </w:rPr>
              <w:t> </w:t>
            </w:r>
            <w:r>
              <w:rPr>
                <w:sz w:val="24"/>
              </w:rPr>
              <w:t>管理沟通学</w:t>
              <w:tab/>
            </w:r>
            <w:r>
              <w:rPr>
                <w:spacing w:val="-5"/>
                <w:sz w:val="24"/>
              </w:rPr>
              <w:t>Managerial </w:t>
            </w:r>
            <w:r>
              <w:rPr>
                <w:sz w:val="24"/>
              </w:rPr>
              <w:t>市场营销</w:t>
              <w:tab/>
              <w:t>Marketing</w:t>
            </w:r>
            <w:r>
              <w:rPr>
                <w:spacing w:val="-5"/>
                <w:sz w:val="24"/>
              </w:rPr>
              <w:t> </w:t>
            </w:r>
            <w:r>
              <w:rPr>
                <w:sz w:val="24"/>
              </w:rPr>
              <w:t>Management</w:t>
            </w:r>
          </w:p>
          <w:p>
            <w:pPr>
              <w:pStyle w:val="TableParagraph"/>
              <w:tabs>
                <w:tab w:pos="1573" w:val="left" w:leader="none"/>
              </w:tabs>
              <w:spacing w:line="360" w:lineRule="auto"/>
              <w:ind w:left="253" w:right="3908"/>
              <w:rPr>
                <w:sz w:val="24"/>
              </w:rPr>
            </w:pPr>
            <w:r>
              <w:rPr>
                <w:sz w:val="24"/>
              </w:rPr>
              <w:t>管理经济</w:t>
              <w:tab/>
              <w:t>Managerial Economics 战略管理</w:t>
              <w:tab/>
              <w:t>Strategy</w:t>
            </w:r>
            <w:r>
              <w:rPr>
                <w:spacing w:val="-14"/>
                <w:sz w:val="24"/>
              </w:rPr>
              <w:t> </w:t>
            </w:r>
            <w:r>
              <w:rPr>
                <w:sz w:val="24"/>
              </w:rPr>
              <w:t>Management</w:t>
            </w:r>
          </w:p>
          <w:p>
            <w:pPr>
              <w:pStyle w:val="TableParagraph"/>
              <w:tabs>
                <w:tab w:pos="1813" w:val="left" w:leader="none"/>
                <w:tab w:pos="2514" w:val="left" w:leader="none"/>
              </w:tabs>
              <w:spacing w:line="360" w:lineRule="auto"/>
              <w:ind w:left="253" w:right="1369"/>
              <w:rPr>
                <w:sz w:val="24"/>
              </w:rPr>
            </w:pPr>
            <w:r>
              <w:rPr>
                <w:sz w:val="24"/>
              </w:rPr>
              <w:t>组织领导/组织行为</w:t>
              <w:tab/>
              <w:t>Leadership /Organizational Behavior 供应链管理</w:t>
              <w:tab/>
              <w:t>Supply Chain</w:t>
            </w:r>
            <w:r>
              <w:rPr>
                <w:spacing w:val="-14"/>
                <w:sz w:val="24"/>
              </w:rPr>
              <w:t> </w:t>
            </w:r>
            <w:r>
              <w:rPr>
                <w:sz w:val="24"/>
              </w:rPr>
              <w:t>Management</w:t>
            </w:r>
          </w:p>
          <w:p>
            <w:pPr>
              <w:pStyle w:val="TableParagraph"/>
              <w:tabs>
                <w:tab w:pos="2053" w:val="left" w:leader="none"/>
              </w:tabs>
              <w:spacing w:line="440" w:lineRule="exact"/>
              <w:ind w:left="253"/>
              <w:rPr>
                <w:sz w:val="24"/>
              </w:rPr>
            </w:pPr>
            <w:r>
              <w:rPr>
                <w:sz w:val="24"/>
              </w:rPr>
              <w:t>全球生产营运</w:t>
              <w:tab/>
              <w:t>Global Production</w:t>
            </w:r>
            <w:r>
              <w:rPr>
                <w:spacing w:val="-12"/>
                <w:sz w:val="24"/>
              </w:rPr>
              <w:t> </w:t>
            </w:r>
            <w:r>
              <w:rPr>
                <w:sz w:val="24"/>
              </w:rPr>
              <w:t>Operations</w:t>
            </w:r>
          </w:p>
        </w:tc>
        <w:tc>
          <w:tcPr>
            <w:tcW w:w="1134" w:type="dxa"/>
          </w:tcPr>
          <w:p>
            <w:pPr>
              <w:pStyle w:val="TableParagraph"/>
              <w:rPr>
                <w:sz w:val="32"/>
              </w:rPr>
            </w:pPr>
          </w:p>
          <w:p>
            <w:pPr>
              <w:pStyle w:val="TableParagraph"/>
              <w:rPr>
                <w:sz w:val="32"/>
              </w:rPr>
            </w:pPr>
          </w:p>
          <w:p>
            <w:pPr>
              <w:pStyle w:val="TableParagraph"/>
              <w:rPr>
                <w:sz w:val="32"/>
              </w:rPr>
            </w:pPr>
          </w:p>
          <w:p>
            <w:pPr>
              <w:pStyle w:val="TableParagraph"/>
              <w:spacing w:before="10"/>
              <w:rPr>
                <w:sz w:val="35"/>
              </w:rPr>
            </w:pPr>
          </w:p>
          <w:p>
            <w:pPr>
              <w:pStyle w:val="TableParagraph"/>
              <w:ind w:left="234" w:right="129"/>
              <w:jc w:val="center"/>
              <w:rPr>
                <w:sz w:val="24"/>
              </w:rPr>
            </w:pPr>
            <w:r>
              <w:rPr>
                <w:sz w:val="24"/>
              </w:rPr>
              <w:t>核心课</w:t>
            </w:r>
          </w:p>
        </w:tc>
      </w:tr>
      <w:tr>
        <w:trPr>
          <w:trHeight w:val="2919" w:hRule="atLeast"/>
        </w:trPr>
        <w:tc>
          <w:tcPr>
            <w:tcW w:w="8080" w:type="dxa"/>
          </w:tcPr>
          <w:p>
            <w:pPr>
              <w:pStyle w:val="TableParagraph"/>
              <w:tabs>
                <w:tab w:pos="1573" w:val="left" w:leader="none"/>
              </w:tabs>
              <w:spacing w:before="199"/>
              <w:ind w:left="253"/>
              <w:rPr>
                <w:sz w:val="24"/>
              </w:rPr>
            </w:pPr>
            <w:r>
              <w:rPr>
                <w:sz w:val="24"/>
              </w:rPr>
              <w:t>国际商务</w:t>
              <w:tab/>
              <w:t>International</w:t>
            </w:r>
            <w:r>
              <w:rPr>
                <w:spacing w:val="-12"/>
                <w:sz w:val="24"/>
              </w:rPr>
              <w:t> </w:t>
            </w:r>
            <w:r>
              <w:rPr>
                <w:sz w:val="24"/>
              </w:rPr>
              <w:t>Business</w:t>
            </w:r>
          </w:p>
          <w:p>
            <w:pPr>
              <w:pStyle w:val="TableParagraph"/>
              <w:spacing w:before="13"/>
              <w:rPr>
                <w:sz w:val="15"/>
              </w:rPr>
            </w:pPr>
          </w:p>
          <w:p>
            <w:pPr>
              <w:pStyle w:val="TableParagraph"/>
              <w:tabs>
                <w:tab w:pos="2533" w:val="left" w:leader="none"/>
              </w:tabs>
              <w:ind w:left="253"/>
              <w:rPr>
                <w:sz w:val="24"/>
              </w:rPr>
            </w:pPr>
            <w:r>
              <w:rPr>
                <w:sz w:val="24"/>
              </w:rPr>
              <w:t>企业法律风险防范</w:t>
              <w:tab/>
              <w:t>Prevention of Legal Risk</w:t>
            </w:r>
            <w:r>
              <w:rPr>
                <w:spacing w:val="-22"/>
                <w:sz w:val="24"/>
              </w:rPr>
              <w:t> </w:t>
            </w:r>
            <w:r>
              <w:rPr>
                <w:sz w:val="24"/>
              </w:rPr>
              <w:t>Enterprises</w:t>
            </w:r>
          </w:p>
          <w:p>
            <w:pPr>
              <w:pStyle w:val="TableParagraph"/>
              <w:spacing w:before="10"/>
              <w:rPr>
                <w:sz w:val="17"/>
              </w:rPr>
            </w:pPr>
          </w:p>
          <w:p>
            <w:pPr>
              <w:pStyle w:val="TableParagraph"/>
              <w:tabs>
                <w:tab w:pos="1933" w:val="left" w:leader="none"/>
              </w:tabs>
              <w:ind w:left="253"/>
              <w:rPr>
                <w:sz w:val="24"/>
              </w:rPr>
            </w:pPr>
            <w:r>
              <w:rPr>
                <w:sz w:val="24"/>
              </w:rPr>
              <w:t>商业模式设计</w:t>
              <w:tab/>
              <w:t>Business Model</w:t>
            </w:r>
            <w:r>
              <w:rPr>
                <w:spacing w:val="-10"/>
                <w:sz w:val="24"/>
              </w:rPr>
              <w:t> </w:t>
            </w:r>
            <w:r>
              <w:rPr>
                <w:sz w:val="24"/>
              </w:rPr>
              <w:t>Design</w:t>
            </w:r>
          </w:p>
          <w:p>
            <w:pPr>
              <w:pStyle w:val="TableParagraph"/>
              <w:tabs>
                <w:tab w:pos="2773" w:val="left" w:leader="none"/>
              </w:tabs>
              <w:spacing w:before="153"/>
              <w:ind w:left="253"/>
              <w:rPr>
                <w:sz w:val="24"/>
              </w:rPr>
            </w:pPr>
            <w:r>
              <w:rPr>
                <w:sz w:val="24"/>
              </w:rPr>
              <w:t>金融投资与风险控制</w:t>
              <w:tab/>
              <w:t>Financial investment and risk</w:t>
            </w:r>
            <w:r>
              <w:rPr>
                <w:spacing w:val="-22"/>
                <w:sz w:val="24"/>
              </w:rPr>
              <w:t> </w:t>
            </w:r>
            <w:r>
              <w:rPr>
                <w:sz w:val="24"/>
              </w:rPr>
              <w:t>control</w:t>
            </w:r>
          </w:p>
        </w:tc>
        <w:tc>
          <w:tcPr>
            <w:tcW w:w="1134" w:type="dxa"/>
          </w:tcPr>
          <w:p>
            <w:pPr>
              <w:pStyle w:val="TableParagraph"/>
              <w:rPr>
                <w:sz w:val="32"/>
              </w:rPr>
            </w:pPr>
          </w:p>
          <w:p>
            <w:pPr>
              <w:pStyle w:val="TableParagraph"/>
              <w:spacing w:before="9"/>
              <w:rPr>
                <w:sz w:val="24"/>
              </w:rPr>
            </w:pPr>
          </w:p>
          <w:p>
            <w:pPr>
              <w:pStyle w:val="TableParagraph"/>
              <w:ind w:left="234" w:right="129"/>
              <w:jc w:val="center"/>
              <w:rPr>
                <w:sz w:val="24"/>
              </w:rPr>
            </w:pPr>
            <w:r>
              <w:rPr>
                <w:sz w:val="24"/>
              </w:rPr>
              <w:t>选修课</w:t>
            </w:r>
          </w:p>
        </w:tc>
      </w:tr>
      <w:tr>
        <w:trPr>
          <w:trHeight w:val="730" w:hRule="atLeast"/>
        </w:trPr>
        <w:tc>
          <w:tcPr>
            <w:tcW w:w="8080" w:type="dxa"/>
          </w:tcPr>
          <w:p>
            <w:pPr>
              <w:pStyle w:val="TableParagraph"/>
              <w:spacing w:before="109"/>
              <w:ind w:left="265"/>
              <w:rPr>
                <w:sz w:val="24"/>
              </w:rPr>
            </w:pPr>
            <w:r>
              <w:rPr>
                <w:sz w:val="24"/>
              </w:rPr>
              <w:t>毕业论文指导：毕业案例设计</w:t>
            </w:r>
          </w:p>
        </w:tc>
        <w:tc>
          <w:tcPr>
            <w:tcW w:w="1134" w:type="dxa"/>
          </w:tcPr>
          <w:p>
            <w:pPr>
              <w:pStyle w:val="TableParagraph"/>
              <w:rPr>
                <w:rFonts w:ascii="Times New Roman"/>
                <w:sz w:val="24"/>
              </w:rPr>
            </w:pPr>
          </w:p>
        </w:tc>
      </w:tr>
    </w:tbl>
    <w:p>
      <w:pPr>
        <w:pStyle w:val="BodyText"/>
        <w:spacing w:before="3"/>
        <w:ind w:left="0"/>
        <w:rPr>
          <w:sz w:val="14"/>
        </w:rPr>
      </w:pPr>
    </w:p>
    <w:p>
      <w:pPr>
        <w:pStyle w:val="Heading2"/>
        <w:spacing w:before="27"/>
      </w:pPr>
      <w:bookmarkStart w:name="【师资力量】" w:id="6"/>
      <w:bookmarkEnd w:id="6"/>
      <w:r>
        <w:rPr>
          <w:b w:val="0"/>
        </w:rPr>
      </w:r>
      <w:r>
        <w:rPr/>
        <w:t>【师资力量】</w:t>
      </w:r>
    </w:p>
    <w:p>
      <w:pPr>
        <w:pStyle w:val="ListParagraph"/>
        <w:numPr>
          <w:ilvl w:val="0"/>
          <w:numId w:val="4"/>
        </w:numPr>
        <w:tabs>
          <w:tab w:pos="960" w:val="left" w:leader="none"/>
        </w:tabs>
        <w:spacing w:line="247" w:lineRule="auto" w:before="22" w:after="0"/>
        <w:ind w:left="600" w:right="1009" w:firstLine="0"/>
        <w:jc w:val="left"/>
        <w:rPr>
          <w:rFonts w:ascii="宋体" w:hAnsi="宋体" w:eastAsia="宋体" w:hint="eastAsia"/>
          <w:sz w:val="24"/>
        </w:rPr>
      </w:pPr>
      <w:r>
        <w:rPr>
          <w:rFonts w:ascii="Cambria" w:hAnsi="Cambria" w:eastAsia="Cambria"/>
          <w:sz w:val="24"/>
        </w:rPr>
        <w:t>60%</w:t>
      </w:r>
      <w:r>
        <w:rPr>
          <w:rFonts w:ascii="宋体" w:hAnsi="宋体" w:eastAsia="宋体" w:hint="eastAsia"/>
          <w:spacing w:val="-5"/>
          <w:sz w:val="24"/>
        </w:rPr>
        <w:t>来源于国内外知名大学的博导，具备系统的理论知识以及丰富的教学经验、论文辅导能力；</w:t>
      </w:r>
    </w:p>
    <w:p>
      <w:pPr>
        <w:pStyle w:val="ListParagraph"/>
        <w:numPr>
          <w:ilvl w:val="0"/>
          <w:numId w:val="4"/>
        </w:numPr>
        <w:tabs>
          <w:tab w:pos="960" w:val="left" w:leader="none"/>
        </w:tabs>
        <w:spacing w:line="244" w:lineRule="auto" w:before="5" w:after="0"/>
        <w:ind w:left="600" w:right="1009" w:firstLine="0"/>
        <w:jc w:val="left"/>
        <w:rPr>
          <w:rFonts w:ascii="宋体" w:hAnsi="宋体" w:eastAsia="宋体" w:hint="eastAsia"/>
          <w:sz w:val="24"/>
        </w:rPr>
      </w:pPr>
      <w:r>
        <w:rPr>
          <w:rFonts w:ascii="Cambria" w:hAnsi="Cambria" w:eastAsia="Cambria"/>
          <w:sz w:val="24"/>
        </w:rPr>
        <w:t>30%</w:t>
      </w:r>
      <w:r>
        <w:rPr>
          <w:rFonts w:ascii="宋体" w:hAnsi="宋体" w:eastAsia="宋体" w:hint="eastAsia"/>
          <w:spacing w:val="-5"/>
          <w:sz w:val="24"/>
        </w:rPr>
        <w:t>来源于国内外知名企业的实战企业导师，具备有效的企业问题解决方案以及案例剖析能力；</w:t>
      </w:r>
    </w:p>
    <w:p>
      <w:pPr>
        <w:spacing w:after="0" w:line="244" w:lineRule="auto"/>
        <w:jc w:val="left"/>
        <w:rPr>
          <w:rFonts w:ascii="宋体" w:hAnsi="宋体" w:eastAsia="宋体" w:hint="eastAsia"/>
          <w:sz w:val="24"/>
        </w:rPr>
        <w:sectPr>
          <w:pgSz w:w="11900" w:h="16840"/>
          <w:pgMar w:header="367" w:footer="0" w:top="1360" w:bottom="280" w:left="1200" w:right="900"/>
        </w:sectPr>
      </w:pPr>
    </w:p>
    <w:p>
      <w:pPr>
        <w:pStyle w:val="ListParagraph"/>
        <w:numPr>
          <w:ilvl w:val="0"/>
          <w:numId w:val="4"/>
        </w:numPr>
        <w:tabs>
          <w:tab w:pos="960" w:val="left" w:leader="none"/>
        </w:tabs>
        <w:spacing w:line="307" w:lineRule="auto" w:before="80" w:after="0"/>
        <w:ind w:left="600" w:right="987" w:firstLine="0"/>
        <w:jc w:val="left"/>
        <w:rPr>
          <w:rFonts w:ascii="宋体" w:hAnsi="宋体" w:eastAsia="宋体" w:hint="eastAsia"/>
          <w:b/>
          <w:sz w:val="24"/>
        </w:rPr>
      </w:pPr>
      <w:r>
        <w:rPr>
          <w:rFonts w:ascii="Cambria" w:hAnsi="Cambria" w:eastAsia="Cambria"/>
          <w:sz w:val="24"/>
        </w:rPr>
        <w:t>10%</w:t>
      </w:r>
      <w:r>
        <w:rPr>
          <w:rFonts w:ascii="宋体" w:hAnsi="宋体" w:eastAsia="宋体" w:hint="eastAsia"/>
          <w:spacing w:val="-12"/>
          <w:sz w:val="24"/>
        </w:rPr>
        <w:t>来源于国内政府决策人士，具备宏观视野，指导学员理论和实践相结合。</w:t>
      </w:r>
      <w:r>
        <w:rPr>
          <w:rFonts w:ascii="宋体" w:hAnsi="宋体" w:eastAsia="宋体" w:hint="eastAsia"/>
          <w:b/>
          <w:spacing w:val="-9"/>
          <w:sz w:val="24"/>
        </w:rPr>
        <w:t>部分师资展示：</w:t>
      </w:r>
    </w:p>
    <w:p>
      <w:pPr>
        <w:pStyle w:val="BodyText"/>
        <w:tabs>
          <w:tab w:pos="1559" w:val="left" w:leader="none"/>
        </w:tabs>
        <w:spacing w:line="372" w:lineRule="auto" w:before="84"/>
        <w:ind w:right="2959"/>
        <w:rPr>
          <w:rFonts w:ascii="宋体" w:eastAsia="宋体" w:hint="eastAsia"/>
        </w:rPr>
      </w:pPr>
      <w:r>
        <w:rPr>
          <w:rFonts w:ascii="宋体" w:eastAsia="宋体" w:hint="eastAsia"/>
        </w:rPr>
        <w:t>张春晓</w:t>
        <w:tab/>
        <w:t>国务院国资委研究中心咨询部部长，北京大学教</w:t>
      </w:r>
      <w:r>
        <w:rPr>
          <w:rFonts w:ascii="宋体" w:eastAsia="宋体" w:hint="eastAsia"/>
          <w:spacing w:val="-18"/>
        </w:rPr>
        <w:t>授</w:t>
      </w:r>
      <w:r>
        <w:rPr>
          <w:rFonts w:ascii="宋体" w:eastAsia="宋体" w:hint="eastAsia"/>
        </w:rPr>
        <w:t>朱少平</w:t>
        <w:tab/>
        <w:t>原全国人大财经委法案室主任</w:t>
      </w:r>
    </w:p>
    <w:p>
      <w:pPr>
        <w:pStyle w:val="BodyText"/>
        <w:tabs>
          <w:tab w:pos="1559" w:val="left" w:leader="none"/>
        </w:tabs>
        <w:spacing w:before="4"/>
        <w:rPr>
          <w:rFonts w:ascii="宋体" w:eastAsia="宋体" w:hint="eastAsia"/>
        </w:rPr>
      </w:pPr>
      <w:r>
        <w:rPr>
          <w:rFonts w:ascii="宋体" w:eastAsia="宋体" w:hint="eastAsia"/>
        </w:rPr>
        <w:t>张元鹏</w:t>
        <w:tab/>
        <w:t>北京大学经济学院教授、博士生导师</w:t>
      </w:r>
    </w:p>
    <w:p>
      <w:pPr>
        <w:pStyle w:val="BodyText"/>
        <w:tabs>
          <w:tab w:pos="1559" w:val="left" w:leader="none"/>
        </w:tabs>
        <w:spacing w:line="372" w:lineRule="auto" w:before="168"/>
        <w:ind w:right="1279"/>
        <w:rPr>
          <w:rFonts w:ascii="宋体" w:eastAsia="宋体" w:hint="eastAsia"/>
        </w:rPr>
      </w:pPr>
      <w:r>
        <w:rPr>
          <w:rFonts w:ascii="宋体" w:eastAsia="宋体" w:hint="eastAsia"/>
        </w:rPr>
        <w:t>黄俊立</w:t>
        <w:tab/>
        <w:t>北京大学马克思主义学院教授，北京大学民营企业研究所执行所</w:t>
      </w:r>
      <w:r>
        <w:rPr>
          <w:rFonts w:ascii="宋体" w:eastAsia="宋体" w:hint="eastAsia"/>
          <w:spacing w:val="-18"/>
        </w:rPr>
        <w:t>长</w:t>
      </w:r>
      <w:r>
        <w:rPr>
          <w:rFonts w:ascii="宋体" w:eastAsia="宋体" w:hint="eastAsia"/>
        </w:rPr>
        <w:t>韩秀云</w:t>
        <w:tab/>
        <w:t>清华大学经济管理学院、教授、博导</w:t>
      </w:r>
    </w:p>
    <w:p>
      <w:pPr>
        <w:pStyle w:val="BodyText"/>
        <w:tabs>
          <w:tab w:pos="1559" w:val="left" w:leader="none"/>
        </w:tabs>
        <w:spacing w:line="374" w:lineRule="auto" w:before="2"/>
        <w:ind w:right="4399"/>
        <w:rPr>
          <w:rFonts w:ascii="宋体" w:eastAsia="宋体" w:hint="eastAsia"/>
        </w:rPr>
      </w:pPr>
      <w:r>
        <w:rPr>
          <w:rFonts w:ascii="宋体" w:eastAsia="宋体" w:hint="eastAsia"/>
        </w:rPr>
        <w:t>金占明</w:t>
        <w:tab/>
        <w:t>清华大学经济管理学院、教授、博</w:t>
      </w:r>
      <w:r>
        <w:rPr>
          <w:rFonts w:ascii="宋体" w:eastAsia="宋体" w:hint="eastAsia"/>
          <w:spacing w:val="-18"/>
        </w:rPr>
        <w:t>导</w:t>
      </w:r>
      <w:r>
        <w:rPr>
          <w:rFonts w:ascii="宋体" w:eastAsia="宋体" w:hint="eastAsia"/>
        </w:rPr>
        <w:t>丁守海</w:t>
        <w:tab/>
        <w:t>中国人民大学教授，博士生导师</w:t>
      </w:r>
    </w:p>
    <w:p>
      <w:pPr>
        <w:pStyle w:val="BodyText"/>
        <w:tabs>
          <w:tab w:pos="1079" w:val="left" w:leader="none"/>
          <w:tab w:pos="1559" w:val="left" w:leader="none"/>
        </w:tabs>
        <w:spacing w:line="374" w:lineRule="auto"/>
        <w:ind w:right="2239"/>
        <w:rPr>
          <w:rFonts w:ascii="宋体" w:eastAsia="宋体" w:hint="eastAsia"/>
        </w:rPr>
      </w:pPr>
      <w:r>
        <w:rPr>
          <w:rFonts w:ascii="宋体" w:eastAsia="宋体" w:hint="eastAsia"/>
        </w:rPr>
        <w:t>彭向刚</w:t>
        <w:tab/>
        <w:t>对外经济贸易大学公共管理学院院长，教授、博士生导</w:t>
      </w:r>
      <w:r>
        <w:rPr>
          <w:rFonts w:ascii="宋体" w:eastAsia="宋体" w:hint="eastAsia"/>
          <w:spacing w:val="-18"/>
        </w:rPr>
        <w:t>师</w:t>
      </w:r>
      <w:r>
        <w:rPr>
          <w:rFonts w:ascii="宋体" w:eastAsia="宋体" w:hint="eastAsia"/>
        </w:rPr>
        <w:t>余</w:t>
        <w:tab/>
        <w:t>斌</w:t>
        <w:tab/>
        <w:t>现任国务院发展研究中心，宏观经济研究部部长，研究</w:t>
      </w:r>
      <w:r>
        <w:rPr>
          <w:rFonts w:ascii="宋体" w:eastAsia="宋体" w:hint="eastAsia"/>
          <w:spacing w:val="-18"/>
        </w:rPr>
        <w:t>员</w:t>
      </w:r>
    </w:p>
    <w:p>
      <w:pPr>
        <w:pStyle w:val="BodyText"/>
        <w:tabs>
          <w:tab w:pos="1079" w:val="left" w:leader="none"/>
          <w:tab w:pos="1559" w:val="left" w:leader="none"/>
        </w:tabs>
        <w:spacing w:line="372" w:lineRule="auto"/>
        <w:ind w:right="1759"/>
        <w:rPr>
          <w:rFonts w:ascii="宋体" w:eastAsia="宋体" w:hint="eastAsia"/>
        </w:rPr>
      </w:pPr>
      <w:r>
        <w:rPr>
          <w:rFonts w:ascii="宋体" w:eastAsia="宋体" w:hint="eastAsia"/>
        </w:rPr>
        <w:t>史</w:t>
        <w:tab/>
        <w:t>炜</w:t>
        <w:tab/>
        <w:t>国家发改革委经济体制与管理研究所研究员，产业研究室主</w:t>
      </w:r>
      <w:r>
        <w:rPr>
          <w:rFonts w:ascii="宋体" w:eastAsia="宋体" w:hint="eastAsia"/>
          <w:spacing w:val="-18"/>
        </w:rPr>
        <w:t>任</w:t>
      </w:r>
      <w:r>
        <w:rPr>
          <w:rFonts w:ascii="宋体" w:eastAsia="宋体" w:hint="eastAsia"/>
        </w:rPr>
        <w:t>张</w:t>
        <w:tab/>
        <w:t>鹏</w:t>
        <w:tab/>
        <w:t>经济学博士，财政部政策实验室宏观经济部主任</w:t>
      </w:r>
    </w:p>
    <w:p>
      <w:pPr>
        <w:pStyle w:val="BodyText"/>
        <w:tabs>
          <w:tab w:pos="1079" w:val="left" w:leader="none"/>
          <w:tab w:pos="1559" w:val="left" w:leader="none"/>
        </w:tabs>
        <w:spacing w:line="372" w:lineRule="auto" w:before="152"/>
        <w:ind w:right="2239"/>
        <w:rPr>
          <w:rFonts w:ascii="宋体" w:eastAsia="宋体" w:hint="eastAsia"/>
        </w:rPr>
      </w:pPr>
      <w:r>
        <w:rPr>
          <w:rFonts w:ascii="宋体" w:eastAsia="宋体" w:hint="eastAsia"/>
        </w:rPr>
        <w:t>江</w:t>
        <w:tab/>
        <w:t>英</w:t>
        <w:tab/>
        <w:t>中国军事科学院研究员，博士生导师，正师职，大校军</w:t>
      </w:r>
      <w:r>
        <w:rPr>
          <w:rFonts w:ascii="宋体" w:eastAsia="宋体" w:hint="eastAsia"/>
          <w:spacing w:val="-18"/>
        </w:rPr>
        <w:t>衔</w:t>
      </w:r>
      <w:r>
        <w:rPr>
          <w:rFonts w:ascii="宋体" w:eastAsia="宋体" w:hint="eastAsia"/>
        </w:rPr>
        <w:t>路长全</w:t>
        <w:tab/>
        <w:t>中国最具价值的营销实战专家</w:t>
      </w:r>
    </w:p>
    <w:p>
      <w:pPr>
        <w:pStyle w:val="BodyText"/>
        <w:tabs>
          <w:tab w:pos="1079" w:val="left" w:leader="none"/>
          <w:tab w:pos="1559" w:val="left" w:leader="none"/>
        </w:tabs>
        <w:spacing w:line="372" w:lineRule="auto" w:before="4"/>
        <w:ind w:right="2587"/>
        <w:rPr>
          <w:rFonts w:ascii="宋体" w:eastAsia="宋体" w:hint="eastAsia"/>
        </w:rPr>
      </w:pPr>
      <w:r>
        <w:rPr>
          <w:rFonts w:ascii="宋体" w:eastAsia="宋体" w:hint="eastAsia"/>
        </w:rPr>
        <w:t>梁</w:t>
        <w:tab/>
        <w:t>山</w:t>
        <w:tab/>
        <w:t>成美营销公司（中国定</w:t>
      </w:r>
      <w:r>
        <w:rPr>
          <w:rFonts w:ascii="宋体" w:eastAsia="宋体" w:hint="eastAsia"/>
          <w:spacing w:val="52"/>
        </w:rPr>
        <w:t>位</w:t>
      </w:r>
      <w:r>
        <w:rPr>
          <w:rFonts w:ascii="Cambria" w:eastAsia="Cambria"/>
        </w:rPr>
        <w:t>NO.1</w:t>
      </w:r>
      <w:r>
        <w:rPr>
          <w:rFonts w:ascii="Cambria" w:eastAsia="Cambria"/>
          <w:spacing w:val="2"/>
        </w:rPr>
        <w:t> </w:t>
      </w:r>
      <w:r>
        <w:rPr>
          <w:rFonts w:ascii="宋体" w:eastAsia="宋体" w:hint="eastAsia"/>
        </w:rPr>
        <w:t>的黄埔军校）运营总</w:t>
      </w:r>
      <w:r>
        <w:rPr>
          <w:rFonts w:ascii="宋体" w:eastAsia="宋体" w:hint="eastAsia"/>
          <w:spacing w:val="-16"/>
        </w:rPr>
        <w:t>监</w:t>
      </w:r>
      <w:r>
        <w:rPr>
          <w:rFonts w:ascii="宋体" w:eastAsia="宋体" w:hint="eastAsia"/>
        </w:rPr>
        <w:t>刘</w:t>
        <w:tab/>
        <w:t>胜</w:t>
        <w:tab/>
        <w:t>原中科招商基金投资总监、现任云胜投资总经理</w:t>
      </w:r>
    </w:p>
    <w:p>
      <w:pPr>
        <w:pStyle w:val="BodyText"/>
        <w:tabs>
          <w:tab w:pos="1079" w:val="left" w:leader="none"/>
          <w:tab w:pos="1559" w:val="left" w:leader="none"/>
        </w:tabs>
        <w:spacing w:line="372" w:lineRule="auto"/>
        <w:ind w:right="4039"/>
        <w:rPr>
          <w:rFonts w:ascii="宋体" w:hAnsi="宋体" w:eastAsia="宋体" w:hint="eastAsia"/>
        </w:rPr>
      </w:pPr>
      <w:r>
        <w:rPr>
          <w:rFonts w:ascii="宋体" w:hAnsi="宋体" w:eastAsia="宋体" w:hint="eastAsia"/>
        </w:rPr>
        <w:t>宋洪祥</w:t>
        <w:tab/>
        <w:t>著名税务专家</w:t>
      </w:r>
      <w:r>
        <w:rPr>
          <w:rFonts w:ascii="宋体" w:hAnsi="宋体" w:eastAsia="宋体" w:hint="eastAsia"/>
          <w:spacing w:val="-120"/>
        </w:rPr>
        <w:t>，</w:t>
      </w:r>
      <w:r>
        <w:rPr>
          <w:rFonts w:ascii="宋体" w:hAnsi="宋体" w:eastAsia="宋体" w:hint="eastAsia"/>
        </w:rPr>
        <w:t>“中国纳税筹划网”总</w:t>
      </w:r>
      <w:r>
        <w:rPr>
          <w:rFonts w:ascii="宋体" w:hAnsi="宋体" w:eastAsia="宋体" w:hint="eastAsia"/>
          <w:spacing w:val="-18"/>
        </w:rPr>
        <w:t>裁</w:t>
      </w:r>
      <w:r>
        <w:rPr>
          <w:rFonts w:ascii="宋体" w:hAnsi="宋体" w:eastAsia="宋体" w:hint="eastAsia"/>
        </w:rPr>
        <w:t>万</w:t>
        <w:tab/>
        <w:t>钧</w:t>
        <w:tab/>
        <w:t>北京大学客座教授，著名营销学家</w:t>
      </w:r>
    </w:p>
    <w:p>
      <w:pPr>
        <w:pStyle w:val="BodyText"/>
        <w:tabs>
          <w:tab w:pos="1079" w:val="left" w:leader="none"/>
          <w:tab w:pos="1559" w:val="left" w:leader="none"/>
        </w:tabs>
        <w:spacing w:line="372" w:lineRule="auto" w:before="4"/>
        <w:ind w:right="3715"/>
        <w:rPr>
          <w:rFonts w:ascii="宋体" w:eastAsia="宋体" w:hint="eastAsia"/>
        </w:rPr>
      </w:pPr>
      <w:r>
        <w:rPr>
          <w:rFonts w:ascii="宋体" w:eastAsia="宋体" w:hint="eastAsia"/>
        </w:rPr>
        <w:t>钱栋玉</w:t>
        <w:tab/>
        <w:t>著名商业模式设计专家，</w:t>
      </w:r>
      <w:r>
        <w:rPr>
          <w:rFonts w:ascii="Cambria" w:eastAsia="Cambria"/>
        </w:rPr>
        <w:t>A</w:t>
      </w:r>
      <w:r>
        <w:rPr>
          <w:rFonts w:ascii="Cambria" w:eastAsia="Cambria"/>
          <w:spacing w:val="1"/>
        </w:rPr>
        <w:t> </w:t>
      </w:r>
      <w:r>
        <w:rPr>
          <w:rFonts w:ascii="宋体" w:eastAsia="宋体" w:hint="eastAsia"/>
        </w:rPr>
        <w:t>股上市公司总</w:t>
      </w:r>
      <w:r>
        <w:rPr>
          <w:rFonts w:ascii="宋体" w:eastAsia="宋体" w:hint="eastAsia"/>
          <w:spacing w:val="-18"/>
        </w:rPr>
        <w:t>裁</w:t>
      </w:r>
      <w:r>
        <w:rPr>
          <w:rFonts w:ascii="宋体" w:eastAsia="宋体" w:hint="eastAsia"/>
        </w:rPr>
        <w:t>张</w:t>
        <w:tab/>
        <w:t>勇</w:t>
        <w:tab/>
        <w:t>南开大学法律研究所所长，教授</w:t>
      </w:r>
    </w:p>
    <w:p>
      <w:pPr>
        <w:pStyle w:val="BodyText"/>
        <w:tabs>
          <w:tab w:pos="1079" w:val="left" w:leader="none"/>
          <w:tab w:pos="1559" w:val="left" w:leader="none"/>
        </w:tabs>
        <w:spacing w:before="2"/>
        <w:rPr>
          <w:rFonts w:ascii="宋体" w:eastAsia="宋体" w:hint="eastAsia"/>
        </w:rPr>
      </w:pPr>
      <w:r>
        <w:rPr>
          <w:rFonts w:ascii="宋体" w:eastAsia="宋体" w:hint="eastAsia"/>
        </w:rPr>
        <w:t>徐</w:t>
        <w:tab/>
        <w:t>京</w:t>
        <w:tab/>
        <w:t>北京智府资本研究院院长、中国实战派投融资专家</w:t>
      </w:r>
    </w:p>
    <w:p>
      <w:pPr>
        <w:pStyle w:val="BodyText"/>
        <w:tabs>
          <w:tab w:pos="1079" w:val="left" w:leader="none"/>
          <w:tab w:pos="1559" w:val="left" w:leader="none"/>
        </w:tabs>
        <w:spacing w:before="168"/>
        <w:rPr>
          <w:rFonts w:ascii="宋体" w:eastAsia="宋体" w:hint="eastAsia"/>
        </w:rPr>
      </w:pPr>
      <w:r>
        <w:rPr>
          <w:rFonts w:ascii="宋体" w:eastAsia="宋体" w:hint="eastAsia"/>
        </w:rPr>
        <w:t>张</w:t>
        <w:tab/>
        <w:t>路</w:t>
        <w:tab/>
        <w:t>北京工商大学商学院会计系，博士生导师</w:t>
      </w:r>
      <w:r>
        <w:rPr>
          <w:rFonts w:ascii="宋体" w:eastAsia="宋体" w:hint="eastAsia"/>
          <w:spacing w:val="-4"/>
        </w:rPr>
        <w:t>，</w:t>
      </w:r>
      <w:r>
        <w:rPr>
          <w:rFonts w:ascii="Cambria" w:eastAsia="Cambria"/>
          <w:spacing w:val="-4"/>
        </w:rPr>
        <w:t>MPAcc</w:t>
      </w:r>
      <w:r>
        <w:rPr>
          <w:rFonts w:ascii="Cambria" w:eastAsia="Cambria"/>
          <w:spacing w:val="-8"/>
        </w:rPr>
        <w:t> </w:t>
      </w:r>
      <w:r>
        <w:rPr>
          <w:rFonts w:ascii="宋体" w:eastAsia="宋体" w:hint="eastAsia"/>
        </w:rPr>
        <w:t>中心执行主任</w:t>
      </w:r>
    </w:p>
    <w:p>
      <w:pPr>
        <w:pStyle w:val="Heading2"/>
        <w:spacing w:before="103"/>
      </w:pPr>
      <w:bookmarkStart w:name="【入学条件】" w:id="7"/>
      <w:bookmarkEnd w:id="7"/>
      <w:r>
        <w:rPr>
          <w:b w:val="0"/>
        </w:rPr>
      </w:r>
      <w:r>
        <w:rPr/>
        <w:t>【入学条件】</w:t>
      </w:r>
    </w:p>
    <w:p>
      <w:pPr>
        <w:pStyle w:val="BodyText"/>
        <w:spacing w:before="101"/>
        <w:rPr>
          <w:rFonts w:ascii="宋体" w:eastAsia="宋体" w:hint="eastAsia"/>
        </w:rPr>
      </w:pPr>
      <w:r>
        <w:rPr>
          <w:rFonts w:ascii="Cambria" w:eastAsia="Cambria"/>
        </w:rPr>
        <w:t>1</w:t>
      </w:r>
      <w:r>
        <w:rPr>
          <w:rFonts w:ascii="宋体" w:eastAsia="宋体" w:hint="eastAsia"/>
        </w:rPr>
        <w:t>、大学本科学历，并具有至少五年以上工作经验，三年以上管理经历。</w:t>
      </w:r>
    </w:p>
    <w:p>
      <w:pPr>
        <w:pStyle w:val="BodyText"/>
        <w:spacing w:before="167"/>
        <w:rPr>
          <w:rFonts w:ascii="宋体" w:eastAsia="宋体" w:hint="eastAsia"/>
        </w:rPr>
      </w:pPr>
      <w:r>
        <w:rPr>
          <w:rFonts w:ascii="Cambria" w:eastAsia="Cambria"/>
        </w:rPr>
        <w:t>2</w:t>
      </w:r>
      <w:r>
        <w:rPr>
          <w:rFonts w:ascii="宋体" w:eastAsia="宋体" w:hint="eastAsia"/>
        </w:rPr>
        <w:t>、具有工商管理或相关专业课程研修班结业证书和成绩者；</w:t>
      </w:r>
    </w:p>
    <w:p>
      <w:pPr>
        <w:pStyle w:val="BodyText"/>
        <w:spacing w:before="170"/>
        <w:rPr>
          <w:rFonts w:ascii="宋体" w:eastAsia="宋体" w:hint="eastAsia"/>
        </w:rPr>
      </w:pPr>
      <w:r>
        <w:rPr>
          <w:rFonts w:ascii="Cambria" w:eastAsia="Cambria"/>
        </w:rPr>
        <w:t>3</w:t>
      </w:r>
      <w:r>
        <w:rPr>
          <w:rFonts w:ascii="宋体" w:eastAsia="宋体" w:hint="eastAsia"/>
        </w:rPr>
        <w:t>、企业董事长、总经理、大型企业高管以及特殊背景者优先考虑。</w:t>
      </w:r>
    </w:p>
    <w:p>
      <w:pPr>
        <w:pStyle w:val="Heading2"/>
        <w:spacing w:before="101"/>
      </w:pPr>
      <w:bookmarkStart w:name="【申请流程】" w:id="8"/>
      <w:bookmarkEnd w:id="8"/>
      <w:r>
        <w:rPr>
          <w:b w:val="0"/>
        </w:rPr>
      </w:r>
      <w:r>
        <w:rPr/>
        <w:t>【申请流程】</w:t>
      </w:r>
    </w:p>
    <w:p>
      <w:pPr>
        <w:spacing w:after="0"/>
        <w:sectPr>
          <w:pgSz w:w="11900" w:h="16840"/>
          <w:pgMar w:header="367" w:footer="0" w:top="1360" w:bottom="280" w:left="1200" w:right="900"/>
        </w:sectPr>
      </w:pPr>
    </w:p>
    <w:p>
      <w:pPr>
        <w:pStyle w:val="BodyText"/>
        <w:spacing w:before="119"/>
        <w:rPr>
          <w:rFonts w:ascii="宋体" w:hAnsi="宋体" w:eastAsia="宋体" w:hint="eastAsia"/>
        </w:rPr>
      </w:pPr>
      <w:r>
        <w:rPr>
          <w:rFonts w:ascii="宋体" w:hAnsi="宋体" w:eastAsia="宋体" w:hint="eastAsia"/>
        </w:rPr>
        <w:t>提交报名表等相关材料</w:t>
      </w:r>
      <w:r>
        <w:rPr/>
        <w:t>→</w:t>
      </w:r>
      <w:r>
        <w:rPr>
          <w:rFonts w:ascii="宋体" w:hAnsi="宋体" w:eastAsia="宋体" w:hint="eastAsia"/>
        </w:rPr>
        <w:t>缴纳报名费（</w:t>
      </w:r>
      <w:r>
        <w:rPr>
          <w:rFonts w:ascii="Cambria" w:hAnsi="Cambria" w:eastAsia="Cambria"/>
        </w:rPr>
        <w:t>3000 </w:t>
      </w:r>
      <w:r>
        <w:rPr>
          <w:rFonts w:ascii="宋体" w:hAnsi="宋体" w:eastAsia="宋体" w:hint="eastAsia"/>
        </w:rPr>
        <w:t>元）</w:t>
      </w:r>
      <w:r>
        <w:rPr/>
        <w:t>→</w:t>
      </w:r>
      <w:r>
        <w:rPr>
          <w:rFonts w:ascii="宋体" w:hAnsi="宋体" w:eastAsia="宋体" w:hint="eastAsia"/>
        </w:rPr>
        <w:t>聘请国内知名教授写推荐信</w:t>
      </w:r>
    </w:p>
    <w:p>
      <w:pPr>
        <w:pStyle w:val="BodyText"/>
        <w:spacing w:line="292" w:lineRule="auto" w:before="121"/>
        <w:ind w:right="944"/>
        <w:rPr>
          <w:rFonts w:ascii="宋体" w:hAnsi="宋体" w:eastAsia="宋体" w:hint="eastAsia"/>
        </w:rPr>
      </w:pPr>
      <w:r>
        <w:rPr/>
        <w:t>→</w:t>
      </w:r>
      <w:r>
        <w:rPr>
          <w:rFonts w:ascii="宋体" w:hAnsi="宋体" w:eastAsia="宋体" w:hint="eastAsia"/>
          <w:spacing w:val="-10"/>
        </w:rPr>
        <w:t>递交美国校本部审核</w:t>
      </w:r>
      <w:r>
        <w:rPr>
          <w:rFonts w:ascii="宋体" w:hAnsi="宋体" w:eastAsia="宋体" w:hint="eastAsia"/>
        </w:rPr>
        <w:t>（</w:t>
      </w:r>
      <w:r>
        <w:rPr>
          <w:rFonts w:ascii="Cambria" w:hAnsi="Cambria" w:eastAsia="Cambria"/>
        </w:rPr>
        <w:t>7-15 </w:t>
      </w:r>
      <w:r>
        <w:rPr>
          <w:rFonts w:ascii="宋体" w:hAnsi="宋体" w:eastAsia="宋体" w:hint="eastAsia"/>
        </w:rPr>
        <w:t>日</w:t>
      </w:r>
      <w:r>
        <w:rPr>
          <w:rFonts w:ascii="宋体" w:hAnsi="宋体" w:eastAsia="宋体" w:hint="eastAsia"/>
          <w:spacing w:val="-37"/>
        </w:rPr>
        <w:t>）</w:t>
      </w:r>
      <w:r>
        <w:rPr>
          <w:rFonts w:ascii="宋体" w:hAnsi="宋体" w:eastAsia="宋体" w:hint="eastAsia"/>
          <w:spacing w:val="-26"/>
        </w:rPr>
        <w:t>，审核通过学校发放录取通知书</w:t>
      </w:r>
      <w:r>
        <w:rPr>
          <w:rFonts w:ascii="宋体" w:hAnsi="宋体" w:eastAsia="宋体" w:hint="eastAsia"/>
        </w:rPr>
        <w:t>（</w:t>
      </w:r>
      <w:r>
        <w:rPr>
          <w:rFonts w:ascii="宋体" w:hAnsi="宋体" w:eastAsia="宋体" w:hint="eastAsia"/>
          <w:spacing w:val="-5"/>
        </w:rPr>
        <w:t>审核未通过， 报名费全额退还</w:t>
      </w:r>
      <w:r>
        <w:rPr>
          <w:rFonts w:ascii="宋体" w:hAnsi="宋体" w:eastAsia="宋体" w:hint="eastAsia"/>
          <w:spacing w:val="-4"/>
        </w:rPr>
        <w:t>）</w:t>
      </w:r>
      <w:r>
        <w:rPr>
          <w:spacing w:val="-4"/>
        </w:rPr>
        <w:t>→</w:t>
      </w:r>
      <w:r>
        <w:rPr>
          <w:rFonts w:ascii="宋体" w:hAnsi="宋体" w:eastAsia="宋体" w:hint="eastAsia"/>
          <w:spacing w:val="-5"/>
        </w:rPr>
        <w:t>缴纳学费，正式入学。</w:t>
      </w:r>
    </w:p>
    <w:p>
      <w:pPr>
        <w:pStyle w:val="Heading2"/>
        <w:spacing w:before="265"/>
      </w:pPr>
      <w:bookmarkStart w:name="【申请资料】" w:id="9"/>
      <w:bookmarkEnd w:id="9"/>
      <w:r>
        <w:rPr>
          <w:b w:val="0"/>
        </w:rPr>
      </w:r>
      <w:r>
        <w:rPr/>
        <w:t>【申请资料】</w:t>
      </w:r>
    </w:p>
    <w:p>
      <w:pPr>
        <w:pStyle w:val="BodyText"/>
        <w:spacing w:before="26"/>
        <w:rPr>
          <w:rFonts w:ascii="宋体" w:eastAsia="宋体" w:hint="eastAsia"/>
        </w:rPr>
      </w:pPr>
      <w:r>
        <w:rPr>
          <w:rFonts w:ascii="Cambria" w:eastAsia="Cambria"/>
        </w:rPr>
        <w:t>1</w:t>
      </w:r>
      <w:r>
        <w:rPr>
          <w:rFonts w:ascii="宋体" w:eastAsia="宋体" w:hint="eastAsia"/>
        </w:rPr>
        <w:t>、报名表（中英文）</w:t>
      </w:r>
    </w:p>
    <w:p>
      <w:pPr>
        <w:pStyle w:val="BodyText"/>
        <w:spacing w:before="12"/>
        <w:rPr>
          <w:rFonts w:ascii="宋体" w:eastAsia="宋体" w:hint="eastAsia"/>
        </w:rPr>
      </w:pPr>
      <w:r>
        <w:rPr>
          <w:rFonts w:ascii="Cambria" w:eastAsia="Cambria"/>
        </w:rPr>
        <w:t>2</w:t>
      </w:r>
      <w:r>
        <w:rPr>
          <w:rFonts w:ascii="宋体" w:eastAsia="宋体" w:hint="eastAsia"/>
        </w:rPr>
        <w:t>、推荐信</w:t>
      </w:r>
    </w:p>
    <w:p>
      <w:pPr>
        <w:pStyle w:val="BodyText"/>
        <w:spacing w:before="11"/>
        <w:rPr>
          <w:rFonts w:ascii="宋体" w:eastAsia="宋体" w:hint="eastAsia"/>
        </w:rPr>
      </w:pPr>
      <w:r>
        <w:rPr>
          <w:rFonts w:ascii="Cambria" w:eastAsia="Cambria"/>
        </w:rPr>
        <w:t>3</w:t>
      </w:r>
      <w:r>
        <w:rPr>
          <w:rFonts w:ascii="宋体" w:eastAsia="宋体" w:hint="eastAsia"/>
        </w:rPr>
        <w:t>、身份证和护照原件扫描件</w:t>
      </w:r>
    </w:p>
    <w:p>
      <w:pPr>
        <w:pStyle w:val="BodyText"/>
        <w:spacing w:before="12"/>
        <w:rPr>
          <w:rFonts w:ascii="宋体" w:eastAsia="宋体" w:hint="eastAsia"/>
        </w:rPr>
      </w:pPr>
      <w:r>
        <w:rPr>
          <w:rFonts w:ascii="Cambria" w:eastAsia="Cambria"/>
          <w:spacing w:val="-1"/>
        </w:rPr>
        <w:t>4</w:t>
      </w:r>
      <w:r>
        <w:rPr>
          <w:rFonts w:ascii="宋体" w:eastAsia="宋体" w:hint="eastAsia"/>
        </w:rPr>
        <w:t>、最高学历证书及成绩单</w:t>
      </w:r>
    </w:p>
    <w:p>
      <w:pPr>
        <w:pStyle w:val="BodyText"/>
        <w:spacing w:before="12"/>
        <w:rPr>
          <w:rFonts w:ascii="宋体" w:eastAsia="宋体" w:hint="eastAsia"/>
        </w:rPr>
      </w:pPr>
      <w:r>
        <w:rPr>
          <w:rFonts w:ascii="Cambria" w:eastAsia="Cambria"/>
        </w:rPr>
        <w:t>5</w:t>
      </w:r>
      <w:r>
        <w:rPr>
          <w:rFonts w:ascii="宋体" w:eastAsia="宋体" w:hint="eastAsia"/>
          <w:spacing w:val="-18"/>
        </w:rPr>
        <w:t>、个人 </w:t>
      </w:r>
      <w:r>
        <w:rPr>
          <w:rFonts w:ascii="Cambria" w:eastAsia="Cambria"/>
        </w:rPr>
        <w:t>2</w:t>
      </w:r>
      <w:r>
        <w:rPr>
          <w:rFonts w:ascii="Cambria" w:eastAsia="Cambria"/>
          <w:spacing w:val="6"/>
        </w:rPr>
        <w:t> </w:t>
      </w:r>
      <w:r>
        <w:rPr>
          <w:rFonts w:ascii="宋体" w:eastAsia="宋体" w:hint="eastAsia"/>
        </w:rPr>
        <w:t>寸白底照电子档</w:t>
      </w:r>
    </w:p>
    <w:p>
      <w:pPr>
        <w:pStyle w:val="BodyText"/>
        <w:spacing w:before="14"/>
        <w:rPr>
          <w:rFonts w:ascii="宋体" w:eastAsia="宋体" w:hint="eastAsia"/>
        </w:rPr>
      </w:pPr>
      <w:r>
        <w:rPr>
          <w:rFonts w:ascii="Cambria" w:eastAsia="Cambria"/>
        </w:rPr>
        <w:t>6</w:t>
      </w:r>
      <w:r>
        <w:rPr>
          <w:rFonts w:ascii="宋体" w:eastAsia="宋体" w:hint="eastAsia"/>
        </w:rPr>
        <w:t>、报名费</w:t>
      </w:r>
    </w:p>
    <w:p>
      <w:pPr>
        <w:pStyle w:val="BodyText"/>
        <w:spacing w:before="10"/>
        <w:ind w:left="0"/>
        <w:rPr>
          <w:rFonts w:ascii="宋体"/>
          <w:sz w:val="26"/>
        </w:rPr>
      </w:pPr>
    </w:p>
    <w:p>
      <w:pPr>
        <w:pStyle w:val="Heading2"/>
        <w:spacing w:before="0"/>
      </w:pPr>
      <w:bookmarkStart w:name="【学习投资】" w:id="10"/>
      <w:bookmarkEnd w:id="10"/>
      <w:r>
        <w:rPr>
          <w:b w:val="0"/>
        </w:rPr>
      </w:r>
      <w:r>
        <w:rPr/>
        <w:t>【学习投资】</w:t>
      </w:r>
    </w:p>
    <w:p>
      <w:pPr>
        <w:pStyle w:val="BodyText"/>
        <w:spacing w:before="24"/>
        <w:rPr>
          <w:rFonts w:ascii="宋体" w:eastAsia="宋体" w:hint="eastAsia"/>
        </w:rPr>
      </w:pPr>
      <w:r>
        <w:rPr>
          <w:rFonts w:ascii="宋体" w:eastAsia="宋体" w:hint="eastAsia"/>
        </w:rPr>
        <w:t>报名审核费 </w:t>
      </w:r>
      <w:r>
        <w:rPr>
          <w:rFonts w:ascii="Cambria" w:eastAsia="Cambria"/>
        </w:rPr>
        <w:t>3000 </w:t>
      </w:r>
      <w:r>
        <w:rPr>
          <w:rFonts w:ascii="宋体" w:eastAsia="宋体" w:hint="eastAsia"/>
        </w:rPr>
        <w:t>元，学费 </w:t>
      </w:r>
      <w:r>
        <w:rPr>
          <w:rFonts w:ascii="Cambria" w:eastAsia="Cambria"/>
        </w:rPr>
        <w:t>98000 </w:t>
      </w:r>
      <w:r>
        <w:rPr>
          <w:rFonts w:ascii="宋体" w:eastAsia="宋体" w:hint="eastAsia"/>
        </w:rPr>
        <w:t>元（含报名费）</w:t>
      </w:r>
    </w:p>
    <w:p>
      <w:pPr>
        <w:pStyle w:val="BodyText"/>
        <w:spacing w:before="11"/>
        <w:rPr>
          <w:rFonts w:ascii="宋体" w:eastAsia="宋体" w:hint="eastAsia"/>
        </w:rPr>
      </w:pPr>
      <w:r>
        <w:rPr>
          <w:rFonts w:ascii="宋体" w:eastAsia="宋体" w:hint="eastAsia"/>
        </w:rPr>
        <w:t>费用包含：授课费、书本资料费、论文辅导及答辩费、学籍注册费、毕业证书费用。</w:t>
      </w:r>
    </w:p>
    <w:p>
      <w:pPr>
        <w:pStyle w:val="BodyText"/>
        <w:spacing w:before="12"/>
        <w:ind w:left="0"/>
        <w:rPr>
          <w:rFonts w:ascii="宋体"/>
          <w:sz w:val="26"/>
        </w:rPr>
      </w:pPr>
    </w:p>
    <w:p>
      <w:pPr>
        <w:pStyle w:val="Heading2"/>
      </w:pPr>
      <w:r>
        <w:rPr/>
        <w:drawing>
          <wp:anchor distT="0" distB="0" distL="0" distR="0" allowOverlap="1" layoutInCell="1" locked="0" behindDoc="0" simplePos="0" relativeHeight="8">
            <wp:simplePos x="0" y="0"/>
            <wp:positionH relativeFrom="page">
              <wp:posOffset>1143000</wp:posOffset>
            </wp:positionH>
            <wp:positionV relativeFrom="paragraph">
              <wp:posOffset>416033</wp:posOffset>
            </wp:positionV>
            <wp:extent cx="5250592" cy="3600450"/>
            <wp:effectExtent l="0" t="0" r="0" b="0"/>
            <wp:wrapTopAndBottom/>
            <wp:docPr id="15" name="image14.jpeg"/>
            <wp:cNvGraphicFramePr>
              <a:graphicFrameLocks noChangeAspect="1"/>
            </wp:cNvGraphicFramePr>
            <a:graphic>
              <a:graphicData uri="http://schemas.openxmlformats.org/drawingml/2006/picture">
                <pic:pic>
                  <pic:nvPicPr>
                    <pic:cNvPr id="16" name="image14.jpeg"/>
                    <pic:cNvPicPr/>
                  </pic:nvPicPr>
                  <pic:blipFill>
                    <a:blip r:embed="rId21" cstate="print"/>
                    <a:stretch>
                      <a:fillRect/>
                    </a:stretch>
                  </pic:blipFill>
                  <pic:spPr>
                    <a:xfrm>
                      <a:off x="0" y="0"/>
                      <a:ext cx="5250592" cy="3600450"/>
                    </a:xfrm>
                    <a:prstGeom prst="rect">
                      <a:avLst/>
                    </a:prstGeom>
                  </pic:spPr>
                </pic:pic>
              </a:graphicData>
            </a:graphic>
          </wp:anchor>
        </w:drawing>
      </w:r>
      <w:bookmarkStart w:name="【学籍查询方法】" w:id="11"/>
      <w:bookmarkEnd w:id="11"/>
      <w:r>
        <w:rPr>
          <w:b w:val="0"/>
        </w:rPr>
      </w:r>
      <w:r>
        <w:rPr/>
        <w:t>【学籍查询方法】</w:t>
      </w:r>
    </w:p>
    <w:p>
      <w:pPr>
        <w:spacing w:after="0"/>
        <w:sectPr>
          <w:pgSz w:w="11900" w:h="16840"/>
          <w:pgMar w:header="367" w:footer="0" w:top="1360" w:bottom="280" w:left="1200" w:right="900"/>
        </w:sectPr>
      </w:pPr>
    </w:p>
    <w:p>
      <w:pPr>
        <w:spacing w:before="83"/>
        <w:ind w:left="600" w:right="0" w:firstLine="0"/>
        <w:jc w:val="left"/>
        <w:rPr>
          <w:b/>
          <w:sz w:val="28"/>
        </w:rPr>
      </w:pPr>
      <w:r>
        <w:rPr>
          <w:b/>
          <w:sz w:val="28"/>
        </w:rPr>
        <w:t>【毕业学位】</w:t>
      </w:r>
    </w:p>
    <w:p>
      <w:pPr>
        <w:pStyle w:val="BodyText"/>
        <w:spacing w:line="244" w:lineRule="auto" w:before="26"/>
        <w:ind w:right="1014"/>
        <w:rPr>
          <w:rFonts w:ascii="宋体" w:eastAsia="宋体" w:hint="eastAsia"/>
        </w:rPr>
      </w:pPr>
      <w:r>
        <w:rPr>
          <w:rFonts w:ascii="宋体" w:eastAsia="宋体" w:hint="eastAsia"/>
          <w:spacing w:val="-15"/>
        </w:rPr>
        <w:t>学员修满学分，完成硕士论文，并通过论文答辩，即可获得由美国先锋理工学院颁发的硕士学位证书。</w:t>
      </w:r>
    </w:p>
    <w:p>
      <w:pPr>
        <w:pStyle w:val="Heading2"/>
        <w:spacing w:before="21"/>
      </w:pPr>
      <w:bookmarkStart w:name="【证书认证】" w:id="12"/>
      <w:bookmarkEnd w:id="12"/>
      <w:r>
        <w:rPr>
          <w:b w:val="0"/>
        </w:rPr>
      </w:r>
      <w:r>
        <w:rPr/>
        <w:t>【证书认证】</w:t>
      </w:r>
    </w:p>
    <w:p>
      <w:pPr>
        <w:pStyle w:val="ListParagraph"/>
        <w:numPr>
          <w:ilvl w:val="0"/>
          <w:numId w:val="4"/>
        </w:numPr>
        <w:tabs>
          <w:tab w:pos="841" w:val="left" w:leader="none"/>
        </w:tabs>
        <w:spacing w:line="240" w:lineRule="auto" w:before="26" w:after="0"/>
        <w:ind w:left="841" w:right="0" w:hanging="241"/>
        <w:jc w:val="left"/>
        <w:rPr>
          <w:rFonts w:ascii="宋体" w:hAnsi="宋体" w:eastAsia="宋体" w:hint="eastAsia"/>
          <w:sz w:val="24"/>
        </w:rPr>
      </w:pPr>
      <w:r>
        <w:rPr>
          <w:rFonts w:ascii="宋体" w:hAnsi="宋体" w:eastAsia="宋体" w:hint="eastAsia"/>
          <w:spacing w:val="-16"/>
          <w:sz w:val="24"/>
        </w:rPr>
        <w:t>学员所获 </w:t>
      </w:r>
      <w:r>
        <w:rPr>
          <w:rFonts w:ascii="Cambria" w:hAnsi="Cambria" w:eastAsia="Cambria"/>
          <w:sz w:val="24"/>
        </w:rPr>
        <w:t>MBA</w:t>
      </w:r>
      <w:r>
        <w:rPr>
          <w:rFonts w:ascii="Cambria" w:hAnsi="Cambria" w:eastAsia="Cambria"/>
          <w:spacing w:val="1"/>
          <w:sz w:val="24"/>
        </w:rPr>
        <w:t> </w:t>
      </w:r>
      <w:r>
        <w:rPr>
          <w:rFonts w:ascii="宋体" w:hAnsi="宋体" w:eastAsia="宋体" w:hint="eastAsia"/>
          <w:sz w:val="24"/>
        </w:rPr>
        <w:t>学位证书（</w:t>
      </w:r>
      <w:r>
        <w:rPr>
          <w:rFonts w:ascii="宋体" w:hAnsi="宋体" w:eastAsia="宋体" w:hint="eastAsia"/>
          <w:b/>
          <w:sz w:val="24"/>
        </w:rPr>
        <w:t>含录取通知书、成绩单、学生证</w:t>
      </w:r>
      <w:r>
        <w:rPr>
          <w:rFonts w:ascii="宋体" w:hAnsi="宋体" w:eastAsia="宋体" w:hint="eastAsia"/>
          <w:sz w:val="24"/>
        </w:rPr>
        <w:t>）</w:t>
      </w:r>
    </w:p>
    <w:p>
      <w:pPr>
        <w:pStyle w:val="ListParagraph"/>
        <w:numPr>
          <w:ilvl w:val="0"/>
          <w:numId w:val="4"/>
        </w:numPr>
        <w:tabs>
          <w:tab w:pos="841" w:val="left" w:leader="none"/>
        </w:tabs>
        <w:spacing w:line="240" w:lineRule="auto" w:before="12" w:after="0"/>
        <w:ind w:left="841" w:right="0" w:hanging="241"/>
        <w:jc w:val="left"/>
        <w:rPr>
          <w:rFonts w:ascii="宋体" w:hAnsi="宋体" w:eastAsia="宋体" w:hint="eastAsia"/>
          <w:sz w:val="24"/>
        </w:rPr>
      </w:pPr>
      <w:r>
        <w:rPr>
          <w:rFonts w:ascii="宋体" w:hAnsi="宋体" w:eastAsia="宋体" w:hint="eastAsia"/>
          <w:sz w:val="24"/>
        </w:rPr>
        <w:t>校方中国办事处可协助其办理相关认证</w:t>
      </w:r>
    </w:p>
    <w:p>
      <w:pPr>
        <w:pStyle w:val="ListParagraph"/>
        <w:numPr>
          <w:ilvl w:val="0"/>
          <w:numId w:val="4"/>
        </w:numPr>
        <w:tabs>
          <w:tab w:pos="841" w:val="left" w:leader="none"/>
        </w:tabs>
        <w:spacing w:line="240" w:lineRule="auto" w:before="11" w:after="0"/>
        <w:ind w:left="841" w:right="0" w:hanging="241"/>
        <w:jc w:val="left"/>
        <w:rPr>
          <w:rFonts w:ascii="宋体" w:hAnsi="宋体" w:eastAsia="宋体" w:hint="eastAsia"/>
          <w:sz w:val="24"/>
        </w:rPr>
      </w:pPr>
      <w:r>
        <w:rPr>
          <w:rFonts w:ascii="宋体" w:hAnsi="宋体" w:eastAsia="宋体" w:hint="eastAsia"/>
          <w:sz w:val="24"/>
        </w:rPr>
        <w:t>认证项目：美国州政府（</w:t>
      </w:r>
      <w:r>
        <w:rPr>
          <w:rFonts w:ascii="宋体" w:hAnsi="宋体" w:eastAsia="宋体" w:hint="eastAsia"/>
          <w:b/>
          <w:sz w:val="24"/>
        </w:rPr>
        <w:t>相当于美国教育部</w:t>
      </w:r>
      <w:r>
        <w:rPr>
          <w:rFonts w:ascii="宋体" w:hAnsi="宋体" w:eastAsia="宋体" w:hint="eastAsia"/>
          <w:sz w:val="24"/>
        </w:rPr>
        <w:t>）</w:t>
      </w:r>
    </w:p>
    <w:p>
      <w:pPr>
        <w:pStyle w:val="ListParagraph"/>
        <w:numPr>
          <w:ilvl w:val="0"/>
          <w:numId w:val="4"/>
        </w:numPr>
        <w:tabs>
          <w:tab w:pos="841" w:val="left" w:leader="none"/>
        </w:tabs>
        <w:spacing w:line="247" w:lineRule="auto" w:before="12" w:after="0"/>
        <w:ind w:left="600" w:right="1378" w:firstLine="0"/>
        <w:jc w:val="left"/>
        <w:rPr>
          <w:rFonts w:ascii="宋体" w:hAnsi="宋体" w:eastAsia="宋体" w:hint="eastAsia"/>
          <w:sz w:val="24"/>
        </w:rPr>
      </w:pPr>
      <w:r>
        <w:rPr>
          <w:rFonts w:ascii="宋体" w:hAnsi="宋体" w:eastAsia="宋体" w:hint="eastAsia"/>
          <w:spacing w:val="-5"/>
          <w:w w:val="90"/>
          <w:sz w:val="24"/>
        </w:rPr>
        <w:t>国际高等学术评估委员会</w:t>
      </w:r>
      <w:r>
        <w:rPr>
          <w:rFonts w:ascii="宋体" w:hAnsi="宋体" w:eastAsia="宋体" w:hint="eastAsia"/>
          <w:w w:val="90"/>
          <w:sz w:val="24"/>
        </w:rPr>
        <w:t>（</w:t>
      </w:r>
      <w:r>
        <w:rPr>
          <w:rFonts w:ascii="Cambria" w:hAnsi="Cambria" w:eastAsia="Cambria"/>
          <w:b/>
          <w:w w:val="90"/>
          <w:sz w:val="24"/>
        </w:rPr>
        <w:t>ICAAE</w:t>
      </w:r>
      <w:r>
        <w:rPr>
          <w:rFonts w:ascii="宋体" w:hAnsi="宋体" w:eastAsia="宋体" w:hint="eastAsia"/>
          <w:w w:val="90"/>
          <w:sz w:val="24"/>
        </w:rPr>
        <w:t>，</w:t>
      </w:r>
      <w:r>
        <w:rPr>
          <w:rFonts w:ascii="宋体" w:hAnsi="宋体" w:eastAsia="宋体" w:hint="eastAsia"/>
          <w:b/>
          <w:w w:val="90"/>
          <w:sz w:val="24"/>
        </w:rPr>
        <w:t>全球权威的学历评估机构之一，由一个专 </w:t>
      </w:r>
      <w:r>
        <w:rPr>
          <w:rFonts w:ascii="宋体" w:hAnsi="宋体" w:eastAsia="宋体" w:hint="eastAsia"/>
          <w:b/>
          <w:spacing w:val="-9"/>
          <w:sz w:val="24"/>
        </w:rPr>
        <w:t>业人士组成的非营利性组织，成员来自 </w:t>
      </w:r>
      <w:r>
        <w:rPr>
          <w:rFonts w:ascii="Cambria" w:hAnsi="Cambria" w:eastAsia="Cambria"/>
          <w:b/>
          <w:sz w:val="24"/>
        </w:rPr>
        <w:t>30</w:t>
      </w:r>
      <w:r>
        <w:rPr>
          <w:rFonts w:ascii="Cambria" w:hAnsi="Cambria" w:eastAsia="Cambria"/>
          <w:b/>
          <w:spacing w:val="5"/>
          <w:sz w:val="24"/>
        </w:rPr>
        <w:t> </w:t>
      </w:r>
      <w:r>
        <w:rPr>
          <w:rFonts w:ascii="宋体" w:hAnsi="宋体" w:eastAsia="宋体" w:hint="eastAsia"/>
          <w:b/>
          <w:sz w:val="24"/>
        </w:rPr>
        <w:t>多个国家</w:t>
      </w:r>
      <w:r>
        <w:rPr>
          <w:rFonts w:ascii="宋体" w:hAnsi="宋体" w:eastAsia="宋体" w:hint="eastAsia"/>
          <w:sz w:val="24"/>
        </w:rPr>
        <w:t>）</w:t>
      </w:r>
    </w:p>
    <w:p>
      <w:pPr>
        <w:pStyle w:val="ListParagraph"/>
        <w:numPr>
          <w:ilvl w:val="0"/>
          <w:numId w:val="4"/>
        </w:numPr>
        <w:tabs>
          <w:tab w:pos="841" w:val="left" w:leader="none"/>
        </w:tabs>
        <w:spacing w:line="240" w:lineRule="auto" w:before="2" w:after="0"/>
        <w:ind w:left="841" w:right="0" w:hanging="241"/>
        <w:jc w:val="left"/>
        <w:rPr>
          <w:rFonts w:ascii="宋体" w:hAnsi="宋体" w:eastAsia="宋体" w:hint="eastAsia"/>
          <w:sz w:val="24"/>
        </w:rPr>
      </w:pPr>
      <w:r>
        <w:rPr>
          <w:rFonts w:ascii="宋体" w:hAnsi="宋体" w:eastAsia="宋体" w:hint="eastAsia"/>
          <w:sz w:val="24"/>
        </w:rPr>
        <w:t>中国驻美领事馆（</w:t>
      </w:r>
      <w:r>
        <w:rPr>
          <w:rFonts w:ascii="宋体" w:hAnsi="宋体" w:eastAsia="宋体" w:hint="eastAsia"/>
          <w:b/>
          <w:sz w:val="24"/>
        </w:rPr>
        <w:t>证明学校</w:t>
      </w:r>
      <w:r>
        <w:rPr>
          <w:rFonts w:ascii="Cambria" w:hAnsi="Cambria" w:eastAsia="Cambria"/>
          <w:b/>
          <w:sz w:val="24"/>
        </w:rPr>
        <w:t>/</w:t>
      </w:r>
      <w:r>
        <w:rPr>
          <w:rFonts w:ascii="宋体" w:hAnsi="宋体" w:eastAsia="宋体" w:hint="eastAsia"/>
          <w:b/>
          <w:sz w:val="24"/>
        </w:rPr>
        <w:t>学习的真实性</w:t>
      </w:r>
      <w:r>
        <w:rPr>
          <w:rFonts w:ascii="宋体" w:hAnsi="宋体" w:eastAsia="宋体" w:hint="eastAsia"/>
          <w:sz w:val="24"/>
        </w:rPr>
        <w:t>）</w:t>
      </w:r>
    </w:p>
    <w:p>
      <w:pPr>
        <w:pStyle w:val="ListParagraph"/>
        <w:numPr>
          <w:ilvl w:val="0"/>
          <w:numId w:val="4"/>
        </w:numPr>
        <w:tabs>
          <w:tab w:pos="841" w:val="left" w:leader="none"/>
        </w:tabs>
        <w:spacing w:line="240" w:lineRule="auto" w:before="12" w:after="0"/>
        <w:ind w:left="841" w:right="0" w:hanging="241"/>
        <w:jc w:val="left"/>
        <w:rPr>
          <w:rFonts w:ascii="宋体" w:hAnsi="宋体" w:eastAsia="宋体" w:hint="eastAsia"/>
          <w:sz w:val="24"/>
        </w:rPr>
      </w:pPr>
      <w:r>
        <w:rPr/>
        <w:drawing>
          <wp:anchor distT="0" distB="0" distL="0" distR="0" allowOverlap="1" layoutInCell="1" locked="0" behindDoc="0" simplePos="0" relativeHeight="9">
            <wp:simplePos x="0" y="0"/>
            <wp:positionH relativeFrom="page">
              <wp:posOffset>1143000</wp:posOffset>
            </wp:positionH>
            <wp:positionV relativeFrom="paragraph">
              <wp:posOffset>266064</wp:posOffset>
            </wp:positionV>
            <wp:extent cx="5257452" cy="2878645"/>
            <wp:effectExtent l="0" t="0" r="0" b="0"/>
            <wp:wrapTopAndBottom/>
            <wp:docPr id="17" name="image15.jpeg"/>
            <wp:cNvGraphicFramePr>
              <a:graphicFrameLocks noChangeAspect="1"/>
            </wp:cNvGraphicFramePr>
            <a:graphic>
              <a:graphicData uri="http://schemas.openxmlformats.org/drawingml/2006/picture">
                <pic:pic>
                  <pic:nvPicPr>
                    <pic:cNvPr id="18" name="image15.jpeg"/>
                    <pic:cNvPicPr/>
                  </pic:nvPicPr>
                  <pic:blipFill>
                    <a:blip r:embed="rId22" cstate="print"/>
                    <a:stretch>
                      <a:fillRect/>
                    </a:stretch>
                  </pic:blipFill>
                  <pic:spPr>
                    <a:xfrm>
                      <a:off x="0" y="0"/>
                      <a:ext cx="5257452" cy="2878645"/>
                    </a:xfrm>
                    <a:prstGeom prst="rect">
                      <a:avLst/>
                    </a:prstGeom>
                  </pic:spPr>
                </pic:pic>
              </a:graphicData>
            </a:graphic>
          </wp:anchor>
        </w:drawing>
      </w:r>
      <w:r>
        <w:rPr>
          <w:rFonts w:ascii="宋体" w:hAnsi="宋体" w:eastAsia="宋体" w:hint="eastAsia"/>
          <w:sz w:val="24"/>
        </w:rPr>
        <w:t>海牙认证（</w:t>
      </w:r>
      <w:r>
        <w:rPr>
          <w:rFonts w:ascii="宋体" w:hAnsi="宋体" w:eastAsia="宋体" w:hint="eastAsia"/>
          <w:b/>
          <w:sz w:val="24"/>
        </w:rPr>
        <w:t>对原证件的签发人进行的二级认证</w:t>
      </w:r>
      <w:r>
        <w:rPr>
          <w:rFonts w:ascii="宋体" w:hAnsi="宋体" w:eastAsia="宋体" w:hint="eastAsia"/>
          <w:sz w:val="24"/>
        </w:rPr>
        <w:t>）</w:t>
      </w:r>
    </w:p>
    <w:p>
      <w:pPr>
        <w:pStyle w:val="BodyText"/>
        <w:spacing w:after="59"/>
        <w:rPr>
          <w:rFonts w:ascii="宋体" w:eastAsia="宋体" w:hint="eastAsia"/>
        </w:rPr>
      </w:pPr>
      <w:r>
        <w:rPr>
          <w:rFonts w:ascii="Cambria" w:eastAsia="Cambria"/>
          <w:color w:val="FF0000"/>
        </w:rPr>
        <w:t>ICAAE </w:t>
      </w:r>
      <w:r>
        <w:rPr>
          <w:rFonts w:ascii="宋体" w:eastAsia="宋体" w:hint="eastAsia"/>
          <w:color w:val="FF0000"/>
        </w:rPr>
        <w:t>认证样本</w:t>
      </w:r>
    </w:p>
    <w:p>
      <w:pPr>
        <w:pStyle w:val="BodyText"/>
        <w:rPr>
          <w:rFonts w:ascii="宋体"/>
          <w:sz w:val="20"/>
        </w:rPr>
      </w:pPr>
      <w:r>
        <w:rPr>
          <w:rFonts w:ascii="宋体"/>
          <w:sz w:val="20"/>
        </w:rPr>
        <w:drawing>
          <wp:inline distT="0" distB="0" distL="0" distR="0">
            <wp:extent cx="5287537" cy="2712339"/>
            <wp:effectExtent l="0" t="0" r="0" b="0"/>
            <wp:docPr id="19" name="image16.jpeg"/>
            <wp:cNvGraphicFramePr>
              <a:graphicFrameLocks noChangeAspect="1"/>
            </wp:cNvGraphicFramePr>
            <a:graphic>
              <a:graphicData uri="http://schemas.openxmlformats.org/drawingml/2006/picture">
                <pic:pic>
                  <pic:nvPicPr>
                    <pic:cNvPr id="20" name="image16.jpeg"/>
                    <pic:cNvPicPr/>
                  </pic:nvPicPr>
                  <pic:blipFill>
                    <a:blip r:embed="rId23" cstate="print"/>
                    <a:stretch>
                      <a:fillRect/>
                    </a:stretch>
                  </pic:blipFill>
                  <pic:spPr>
                    <a:xfrm>
                      <a:off x="0" y="0"/>
                      <a:ext cx="5287537" cy="2712339"/>
                    </a:xfrm>
                    <a:prstGeom prst="rect">
                      <a:avLst/>
                    </a:prstGeom>
                  </pic:spPr>
                </pic:pic>
              </a:graphicData>
            </a:graphic>
          </wp:inline>
        </w:drawing>
      </w:r>
      <w:r>
        <w:rPr>
          <w:rFonts w:ascii="宋体"/>
          <w:sz w:val="20"/>
        </w:rPr>
      </w:r>
    </w:p>
    <w:p>
      <w:pPr>
        <w:pStyle w:val="BodyText"/>
        <w:spacing w:before="46"/>
        <w:rPr>
          <w:rFonts w:ascii="宋体" w:eastAsia="宋体" w:hint="eastAsia"/>
        </w:rPr>
      </w:pPr>
      <w:r>
        <w:rPr>
          <w:rFonts w:ascii="宋体" w:eastAsia="宋体" w:hint="eastAsia"/>
          <w:color w:val="FF0000"/>
        </w:rPr>
        <w:t>州政府及领事馆认证样本</w:t>
      </w:r>
    </w:p>
    <w:sectPr>
      <w:pgSz w:w="11900" w:h="16840"/>
      <w:pgMar w:header="367" w:footer="0" w:top="1360" w:bottom="280" w:left="1200" w:right="9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微软雅黑">
    <w:altName w:val="微软雅黑"/>
    <w:charset w:val="86"/>
    <w:family w:val="swiss"/>
    <w:pitch w:val="variable"/>
  </w:font>
  <w:font w:name="宋体">
    <w:altName w:val="宋体"/>
    <w:charset w:val="86"/>
    <w:family w:val="auto"/>
    <w:pitch w:val="variable"/>
  </w:font>
  <w:font w:name="Cambria">
    <w:altName w:val="Cambria"/>
    <w:charset w:val="0"/>
    <w:family w:val="roman"/>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drawing>
        <wp:anchor distT="0" distB="0" distL="0" distR="0" allowOverlap="1" layoutInCell="1" locked="0" behindDoc="1" simplePos="0" relativeHeight="251397120">
          <wp:simplePos x="0" y="0"/>
          <wp:positionH relativeFrom="page">
            <wp:posOffset>1143000</wp:posOffset>
          </wp:positionH>
          <wp:positionV relativeFrom="page">
            <wp:posOffset>233172</wp:posOffset>
          </wp:positionV>
          <wp:extent cx="2171700" cy="426720"/>
          <wp:effectExtent l="0" t="0" r="0" b="0"/>
          <wp:wrapNone/>
          <wp:docPr id="1" name="image1.jpeg"/>
          <wp:cNvGraphicFramePr>
            <a:graphicFrameLocks noChangeAspect="1"/>
          </wp:cNvGraphicFramePr>
          <a:graphic>
            <a:graphicData uri="http://schemas.openxmlformats.org/drawingml/2006/picture">
              <pic:pic>
                <pic:nvPicPr>
                  <pic:cNvPr id="2" name="image1.jpeg"/>
                  <pic:cNvPicPr/>
                </pic:nvPicPr>
                <pic:blipFill>
                  <a:blip r:embed="rId1" cstate="print"/>
                  <a:stretch>
                    <a:fillRect/>
                  </a:stretch>
                </pic:blipFill>
                <pic:spPr>
                  <a:xfrm>
                    <a:off x="0" y="0"/>
                    <a:ext cx="2171700" cy="426720"/>
                  </a:xfrm>
                  <a:prstGeom prst="rect">
                    <a:avLst/>
                  </a:prstGeom>
                </pic:spPr>
              </pic:pic>
            </a:graphicData>
          </a:graphic>
        </wp:anchor>
      </w:drawing>
    </w:r>
    <w:r>
      <w:rPr/>
      <w:drawing>
        <wp:anchor distT="0" distB="0" distL="0" distR="0" allowOverlap="1" layoutInCell="1" locked="0" behindDoc="1" simplePos="0" relativeHeight="251398144">
          <wp:simplePos x="0" y="0"/>
          <wp:positionH relativeFrom="page">
            <wp:posOffset>5143500</wp:posOffset>
          </wp:positionH>
          <wp:positionV relativeFrom="page">
            <wp:posOffset>278891</wp:posOffset>
          </wp:positionV>
          <wp:extent cx="1187196" cy="384048"/>
          <wp:effectExtent l="0" t="0" r="0" b="0"/>
          <wp:wrapNone/>
          <wp:docPr id="3" name="image2.png"/>
          <wp:cNvGraphicFramePr>
            <a:graphicFrameLocks noChangeAspect="1"/>
          </wp:cNvGraphicFramePr>
          <a:graphic>
            <a:graphicData uri="http://schemas.openxmlformats.org/drawingml/2006/picture">
              <pic:pic>
                <pic:nvPicPr>
                  <pic:cNvPr id="4" name="image2.png"/>
                  <pic:cNvPicPr/>
                </pic:nvPicPr>
                <pic:blipFill>
                  <a:blip r:embed="rId2" cstate="print"/>
                  <a:stretch>
                    <a:fillRect/>
                  </a:stretch>
                </pic:blipFill>
                <pic:spPr>
                  <a:xfrm>
                    <a:off x="0" y="0"/>
                    <a:ext cx="1187196" cy="384048"/>
                  </a:xfrm>
                  <a:prstGeom prst="rect">
                    <a:avLst/>
                  </a:prstGeom>
                </pic:spPr>
              </pic:pic>
            </a:graphicData>
          </a:graphic>
        </wp:anchor>
      </w:drawing>
    </w:r>
    <w:r>
      <w:rPr/>
      <w:pict>
        <v:line style="position:absolute;mso-position-horizontal-relative:page;mso-position-vertical-relative:page;z-index:-251917312" from="90pt,54.450001pt" to="505pt,54.450001pt" stroked="true" strokeweight=".72pt" strokecolor="#000000">
          <v:stroke dashstyle="solid"/>
          <w10:wrap type="none"/>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
    <w:multiLevelType w:val="hybridMultilevel"/>
    <w:lvl w:ilvl="0">
      <w:start w:val="0"/>
      <w:numFmt w:val="bullet"/>
      <w:lvlText w:val="◆"/>
      <w:lvlJc w:val="left"/>
      <w:pPr>
        <w:ind w:left="600" w:hanging="360"/>
      </w:pPr>
      <w:rPr>
        <w:rFonts w:hint="default" w:ascii="宋体" w:hAnsi="宋体" w:eastAsia="宋体" w:cs="宋体"/>
        <w:spacing w:val="-5"/>
        <w:w w:val="100"/>
        <w:sz w:val="24"/>
        <w:szCs w:val="24"/>
        <w:lang w:val="zh-CN" w:eastAsia="zh-CN" w:bidi="zh-CN"/>
      </w:rPr>
    </w:lvl>
    <w:lvl w:ilvl="1">
      <w:start w:val="0"/>
      <w:numFmt w:val="bullet"/>
      <w:lvlText w:val="•"/>
      <w:lvlJc w:val="left"/>
      <w:pPr>
        <w:ind w:left="1520" w:hanging="360"/>
      </w:pPr>
      <w:rPr>
        <w:rFonts w:hint="default"/>
        <w:lang w:val="zh-CN" w:eastAsia="zh-CN" w:bidi="zh-CN"/>
      </w:rPr>
    </w:lvl>
    <w:lvl w:ilvl="2">
      <w:start w:val="0"/>
      <w:numFmt w:val="bullet"/>
      <w:lvlText w:val="•"/>
      <w:lvlJc w:val="left"/>
      <w:pPr>
        <w:ind w:left="2440" w:hanging="360"/>
      </w:pPr>
      <w:rPr>
        <w:rFonts w:hint="default"/>
        <w:lang w:val="zh-CN" w:eastAsia="zh-CN" w:bidi="zh-CN"/>
      </w:rPr>
    </w:lvl>
    <w:lvl w:ilvl="3">
      <w:start w:val="0"/>
      <w:numFmt w:val="bullet"/>
      <w:lvlText w:val="•"/>
      <w:lvlJc w:val="left"/>
      <w:pPr>
        <w:ind w:left="3360" w:hanging="360"/>
      </w:pPr>
      <w:rPr>
        <w:rFonts w:hint="default"/>
        <w:lang w:val="zh-CN" w:eastAsia="zh-CN" w:bidi="zh-CN"/>
      </w:rPr>
    </w:lvl>
    <w:lvl w:ilvl="4">
      <w:start w:val="0"/>
      <w:numFmt w:val="bullet"/>
      <w:lvlText w:val="•"/>
      <w:lvlJc w:val="left"/>
      <w:pPr>
        <w:ind w:left="4280" w:hanging="360"/>
      </w:pPr>
      <w:rPr>
        <w:rFonts w:hint="default"/>
        <w:lang w:val="zh-CN" w:eastAsia="zh-CN" w:bidi="zh-CN"/>
      </w:rPr>
    </w:lvl>
    <w:lvl w:ilvl="5">
      <w:start w:val="0"/>
      <w:numFmt w:val="bullet"/>
      <w:lvlText w:val="•"/>
      <w:lvlJc w:val="left"/>
      <w:pPr>
        <w:ind w:left="5200" w:hanging="360"/>
      </w:pPr>
      <w:rPr>
        <w:rFonts w:hint="default"/>
        <w:lang w:val="zh-CN" w:eastAsia="zh-CN" w:bidi="zh-CN"/>
      </w:rPr>
    </w:lvl>
    <w:lvl w:ilvl="6">
      <w:start w:val="0"/>
      <w:numFmt w:val="bullet"/>
      <w:lvlText w:val="•"/>
      <w:lvlJc w:val="left"/>
      <w:pPr>
        <w:ind w:left="6120" w:hanging="360"/>
      </w:pPr>
      <w:rPr>
        <w:rFonts w:hint="default"/>
        <w:lang w:val="zh-CN" w:eastAsia="zh-CN" w:bidi="zh-CN"/>
      </w:rPr>
    </w:lvl>
    <w:lvl w:ilvl="7">
      <w:start w:val="0"/>
      <w:numFmt w:val="bullet"/>
      <w:lvlText w:val="•"/>
      <w:lvlJc w:val="left"/>
      <w:pPr>
        <w:ind w:left="7040" w:hanging="360"/>
      </w:pPr>
      <w:rPr>
        <w:rFonts w:hint="default"/>
        <w:lang w:val="zh-CN" w:eastAsia="zh-CN" w:bidi="zh-CN"/>
      </w:rPr>
    </w:lvl>
    <w:lvl w:ilvl="8">
      <w:start w:val="0"/>
      <w:numFmt w:val="bullet"/>
      <w:lvlText w:val="•"/>
      <w:lvlJc w:val="left"/>
      <w:pPr>
        <w:ind w:left="7960" w:hanging="360"/>
      </w:pPr>
      <w:rPr>
        <w:rFonts w:hint="default"/>
        <w:lang w:val="zh-CN" w:eastAsia="zh-CN" w:bidi="zh-CN"/>
      </w:rPr>
    </w:lvl>
  </w:abstractNum>
  <w:abstractNum w:abstractNumId="2">
    <w:multiLevelType w:val="hybridMultilevel"/>
    <w:lvl w:ilvl="0">
      <w:start w:val="0"/>
      <w:numFmt w:val="bullet"/>
      <w:lvlText w:val="◆"/>
      <w:lvlJc w:val="left"/>
      <w:pPr>
        <w:ind w:left="146" w:hanging="147"/>
      </w:pPr>
      <w:rPr>
        <w:rFonts w:hint="default" w:ascii="微软雅黑" w:hAnsi="微软雅黑" w:eastAsia="微软雅黑" w:cs="微软雅黑"/>
        <w:color w:val="FF0000"/>
        <w:w w:val="99"/>
        <w:sz w:val="20"/>
        <w:szCs w:val="20"/>
        <w:lang w:val="zh-CN" w:eastAsia="zh-CN" w:bidi="zh-CN"/>
      </w:rPr>
    </w:lvl>
    <w:lvl w:ilvl="1">
      <w:start w:val="0"/>
      <w:numFmt w:val="bullet"/>
      <w:lvlText w:val="•"/>
      <w:lvlJc w:val="left"/>
      <w:pPr>
        <w:ind w:left="358" w:hanging="147"/>
      </w:pPr>
      <w:rPr>
        <w:rFonts w:hint="default"/>
        <w:lang w:val="zh-CN" w:eastAsia="zh-CN" w:bidi="zh-CN"/>
      </w:rPr>
    </w:lvl>
    <w:lvl w:ilvl="2">
      <w:start w:val="0"/>
      <w:numFmt w:val="bullet"/>
      <w:lvlText w:val="•"/>
      <w:lvlJc w:val="left"/>
      <w:pPr>
        <w:ind w:left="577" w:hanging="147"/>
      </w:pPr>
      <w:rPr>
        <w:rFonts w:hint="default"/>
        <w:lang w:val="zh-CN" w:eastAsia="zh-CN" w:bidi="zh-CN"/>
      </w:rPr>
    </w:lvl>
    <w:lvl w:ilvl="3">
      <w:start w:val="0"/>
      <w:numFmt w:val="bullet"/>
      <w:lvlText w:val="•"/>
      <w:lvlJc w:val="left"/>
      <w:pPr>
        <w:ind w:left="795" w:hanging="147"/>
      </w:pPr>
      <w:rPr>
        <w:rFonts w:hint="default"/>
        <w:lang w:val="zh-CN" w:eastAsia="zh-CN" w:bidi="zh-CN"/>
      </w:rPr>
    </w:lvl>
    <w:lvl w:ilvl="4">
      <w:start w:val="0"/>
      <w:numFmt w:val="bullet"/>
      <w:lvlText w:val="•"/>
      <w:lvlJc w:val="left"/>
      <w:pPr>
        <w:ind w:left="1014" w:hanging="147"/>
      </w:pPr>
      <w:rPr>
        <w:rFonts w:hint="default"/>
        <w:lang w:val="zh-CN" w:eastAsia="zh-CN" w:bidi="zh-CN"/>
      </w:rPr>
    </w:lvl>
    <w:lvl w:ilvl="5">
      <w:start w:val="0"/>
      <w:numFmt w:val="bullet"/>
      <w:lvlText w:val="•"/>
      <w:lvlJc w:val="left"/>
      <w:pPr>
        <w:ind w:left="1233" w:hanging="147"/>
      </w:pPr>
      <w:rPr>
        <w:rFonts w:hint="default"/>
        <w:lang w:val="zh-CN" w:eastAsia="zh-CN" w:bidi="zh-CN"/>
      </w:rPr>
    </w:lvl>
    <w:lvl w:ilvl="6">
      <w:start w:val="0"/>
      <w:numFmt w:val="bullet"/>
      <w:lvlText w:val="•"/>
      <w:lvlJc w:val="left"/>
      <w:pPr>
        <w:ind w:left="1451" w:hanging="147"/>
      </w:pPr>
      <w:rPr>
        <w:rFonts w:hint="default"/>
        <w:lang w:val="zh-CN" w:eastAsia="zh-CN" w:bidi="zh-CN"/>
      </w:rPr>
    </w:lvl>
    <w:lvl w:ilvl="7">
      <w:start w:val="0"/>
      <w:numFmt w:val="bullet"/>
      <w:lvlText w:val="•"/>
      <w:lvlJc w:val="left"/>
      <w:pPr>
        <w:ind w:left="1670" w:hanging="147"/>
      </w:pPr>
      <w:rPr>
        <w:rFonts w:hint="default"/>
        <w:lang w:val="zh-CN" w:eastAsia="zh-CN" w:bidi="zh-CN"/>
      </w:rPr>
    </w:lvl>
    <w:lvl w:ilvl="8">
      <w:start w:val="0"/>
      <w:numFmt w:val="bullet"/>
      <w:lvlText w:val="•"/>
      <w:lvlJc w:val="left"/>
      <w:pPr>
        <w:ind w:left="1889" w:hanging="147"/>
      </w:pPr>
      <w:rPr>
        <w:rFonts w:hint="default"/>
        <w:lang w:val="zh-CN" w:eastAsia="zh-CN" w:bidi="zh-CN"/>
      </w:rPr>
    </w:lvl>
  </w:abstractNum>
  <w:abstractNum w:abstractNumId="1">
    <w:multiLevelType w:val="hybridMultilevel"/>
    <w:lvl w:ilvl="0">
      <w:start w:val="0"/>
      <w:numFmt w:val="bullet"/>
      <w:lvlText w:val="◆"/>
      <w:lvlJc w:val="left"/>
      <w:pPr>
        <w:ind w:left="600" w:hanging="144"/>
      </w:pPr>
      <w:rPr>
        <w:rFonts w:hint="default" w:ascii="微软雅黑" w:hAnsi="微软雅黑" w:eastAsia="微软雅黑" w:cs="微软雅黑"/>
        <w:color w:val="FF0000"/>
        <w:spacing w:val="24"/>
        <w:w w:val="99"/>
        <w:sz w:val="20"/>
        <w:szCs w:val="20"/>
        <w:lang w:val="zh-CN" w:eastAsia="zh-CN" w:bidi="zh-CN"/>
      </w:rPr>
    </w:lvl>
    <w:lvl w:ilvl="1">
      <w:start w:val="0"/>
      <w:numFmt w:val="bullet"/>
      <w:lvlText w:val="◆"/>
      <w:lvlJc w:val="left"/>
      <w:pPr>
        <w:ind w:left="600" w:hanging="264"/>
      </w:pPr>
      <w:rPr>
        <w:rFonts w:hint="default" w:ascii="微软雅黑" w:hAnsi="微软雅黑" w:eastAsia="微软雅黑" w:cs="微软雅黑"/>
        <w:spacing w:val="-23"/>
        <w:w w:val="100"/>
        <w:sz w:val="24"/>
        <w:szCs w:val="24"/>
        <w:lang w:val="zh-CN" w:eastAsia="zh-CN" w:bidi="zh-CN"/>
      </w:rPr>
    </w:lvl>
    <w:lvl w:ilvl="2">
      <w:start w:val="0"/>
      <w:numFmt w:val="bullet"/>
      <w:lvlText w:val="•"/>
      <w:lvlJc w:val="left"/>
      <w:pPr>
        <w:ind w:left="2440" w:hanging="264"/>
      </w:pPr>
      <w:rPr>
        <w:rFonts w:hint="default"/>
        <w:lang w:val="zh-CN" w:eastAsia="zh-CN" w:bidi="zh-CN"/>
      </w:rPr>
    </w:lvl>
    <w:lvl w:ilvl="3">
      <w:start w:val="0"/>
      <w:numFmt w:val="bullet"/>
      <w:lvlText w:val="•"/>
      <w:lvlJc w:val="left"/>
      <w:pPr>
        <w:ind w:left="3360" w:hanging="264"/>
      </w:pPr>
      <w:rPr>
        <w:rFonts w:hint="default"/>
        <w:lang w:val="zh-CN" w:eastAsia="zh-CN" w:bidi="zh-CN"/>
      </w:rPr>
    </w:lvl>
    <w:lvl w:ilvl="4">
      <w:start w:val="0"/>
      <w:numFmt w:val="bullet"/>
      <w:lvlText w:val="•"/>
      <w:lvlJc w:val="left"/>
      <w:pPr>
        <w:ind w:left="4280" w:hanging="264"/>
      </w:pPr>
      <w:rPr>
        <w:rFonts w:hint="default"/>
        <w:lang w:val="zh-CN" w:eastAsia="zh-CN" w:bidi="zh-CN"/>
      </w:rPr>
    </w:lvl>
    <w:lvl w:ilvl="5">
      <w:start w:val="0"/>
      <w:numFmt w:val="bullet"/>
      <w:lvlText w:val="•"/>
      <w:lvlJc w:val="left"/>
      <w:pPr>
        <w:ind w:left="5200" w:hanging="264"/>
      </w:pPr>
      <w:rPr>
        <w:rFonts w:hint="default"/>
        <w:lang w:val="zh-CN" w:eastAsia="zh-CN" w:bidi="zh-CN"/>
      </w:rPr>
    </w:lvl>
    <w:lvl w:ilvl="6">
      <w:start w:val="0"/>
      <w:numFmt w:val="bullet"/>
      <w:lvlText w:val="•"/>
      <w:lvlJc w:val="left"/>
      <w:pPr>
        <w:ind w:left="6120" w:hanging="264"/>
      </w:pPr>
      <w:rPr>
        <w:rFonts w:hint="default"/>
        <w:lang w:val="zh-CN" w:eastAsia="zh-CN" w:bidi="zh-CN"/>
      </w:rPr>
    </w:lvl>
    <w:lvl w:ilvl="7">
      <w:start w:val="0"/>
      <w:numFmt w:val="bullet"/>
      <w:lvlText w:val="•"/>
      <w:lvlJc w:val="left"/>
      <w:pPr>
        <w:ind w:left="7040" w:hanging="264"/>
      </w:pPr>
      <w:rPr>
        <w:rFonts w:hint="default"/>
        <w:lang w:val="zh-CN" w:eastAsia="zh-CN" w:bidi="zh-CN"/>
      </w:rPr>
    </w:lvl>
    <w:lvl w:ilvl="8">
      <w:start w:val="0"/>
      <w:numFmt w:val="bullet"/>
      <w:lvlText w:val="•"/>
      <w:lvlJc w:val="left"/>
      <w:pPr>
        <w:ind w:left="7960" w:hanging="264"/>
      </w:pPr>
      <w:rPr>
        <w:rFonts w:hint="default"/>
        <w:lang w:val="zh-CN" w:eastAsia="zh-CN" w:bidi="zh-CN"/>
      </w:rPr>
    </w:lvl>
  </w:abstractNum>
  <w:abstractNum w:abstractNumId="0">
    <w:multiLevelType w:val="hybridMultilevel"/>
    <w:lvl w:ilvl="0">
      <w:start w:val="0"/>
      <w:numFmt w:val="bullet"/>
      <w:lvlText w:val="◆"/>
      <w:lvlJc w:val="left"/>
      <w:pPr>
        <w:ind w:left="600" w:hanging="147"/>
      </w:pPr>
      <w:rPr>
        <w:rFonts w:hint="default" w:ascii="微软雅黑" w:hAnsi="微软雅黑" w:eastAsia="微软雅黑" w:cs="微软雅黑"/>
        <w:w w:val="99"/>
        <w:sz w:val="20"/>
        <w:szCs w:val="20"/>
        <w:lang w:val="zh-CN" w:eastAsia="zh-CN" w:bidi="zh-CN"/>
      </w:rPr>
    </w:lvl>
    <w:lvl w:ilvl="1">
      <w:start w:val="0"/>
      <w:numFmt w:val="bullet"/>
      <w:lvlText w:val="•"/>
      <w:lvlJc w:val="left"/>
      <w:pPr>
        <w:ind w:left="1520" w:hanging="147"/>
      </w:pPr>
      <w:rPr>
        <w:rFonts w:hint="default"/>
        <w:lang w:val="zh-CN" w:eastAsia="zh-CN" w:bidi="zh-CN"/>
      </w:rPr>
    </w:lvl>
    <w:lvl w:ilvl="2">
      <w:start w:val="0"/>
      <w:numFmt w:val="bullet"/>
      <w:lvlText w:val="•"/>
      <w:lvlJc w:val="left"/>
      <w:pPr>
        <w:ind w:left="2440" w:hanging="147"/>
      </w:pPr>
      <w:rPr>
        <w:rFonts w:hint="default"/>
        <w:lang w:val="zh-CN" w:eastAsia="zh-CN" w:bidi="zh-CN"/>
      </w:rPr>
    </w:lvl>
    <w:lvl w:ilvl="3">
      <w:start w:val="0"/>
      <w:numFmt w:val="bullet"/>
      <w:lvlText w:val="•"/>
      <w:lvlJc w:val="left"/>
      <w:pPr>
        <w:ind w:left="3360" w:hanging="147"/>
      </w:pPr>
      <w:rPr>
        <w:rFonts w:hint="default"/>
        <w:lang w:val="zh-CN" w:eastAsia="zh-CN" w:bidi="zh-CN"/>
      </w:rPr>
    </w:lvl>
    <w:lvl w:ilvl="4">
      <w:start w:val="0"/>
      <w:numFmt w:val="bullet"/>
      <w:lvlText w:val="•"/>
      <w:lvlJc w:val="left"/>
      <w:pPr>
        <w:ind w:left="4280" w:hanging="147"/>
      </w:pPr>
      <w:rPr>
        <w:rFonts w:hint="default"/>
        <w:lang w:val="zh-CN" w:eastAsia="zh-CN" w:bidi="zh-CN"/>
      </w:rPr>
    </w:lvl>
    <w:lvl w:ilvl="5">
      <w:start w:val="0"/>
      <w:numFmt w:val="bullet"/>
      <w:lvlText w:val="•"/>
      <w:lvlJc w:val="left"/>
      <w:pPr>
        <w:ind w:left="5200" w:hanging="147"/>
      </w:pPr>
      <w:rPr>
        <w:rFonts w:hint="default"/>
        <w:lang w:val="zh-CN" w:eastAsia="zh-CN" w:bidi="zh-CN"/>
      </w:rPr>
    </w:lvl>
    <w:lvl w:ilvl="6">
      <w:start w:val="0"/>
      <w:numFmt w:val="bullet"/>
      <w:lvlText w:val="•"/>
      <w:lvlJc w:val="left"/>
      <w:pPr>
        <w:ind w:left="6120" w:hanging="147"/>
      </w:pPr>
      <w:rPr>
        <w:rFonts w:hint="default"/>
        <w:lang w:val="zh-CN" w:eastAsia="zh-CN" w:bidi="zh-CN"/>
      </w:rPr>
    </w:lvl>
    <w:lvl w:ilvl="7">
      <w:start w:val="0"/>
      <w:numFmt w:val="bullet"/>
      <w:lvlText w:val="•"/>
      <w:lvlJc w:val="left"/>
      <w:pPr>
        <w:ind w:left="7040" w:hanging="147"/>
      </w:pPr>
      <w:rPr>
        <w:rFonts w:hint="default"/>
        <w:lang w:val="zh-CN" w:eastAsia="zh-CN" w:bidi="zh-CN"/>
      </w:rPr>
    </w:lvl>
    <w:lvl w:ilvl="8">
      <w:start w:val="0"/>
      <w:numFmt w:val="bullet"/>
      <w:lvlText w:val="•"/>
      <w:lvlJc w:val="left"/>
      <w:pPr>
        <w:ind w:left="7960" w:hanging="147"/>
      </w:pPr>
      <w:rPr>
        <w:rFonts w:hint="default"/>
        <w:lang w:val="zh-CN" w:eastAsia="zh-CN" w:bidi="zh-CN"/>
      </w:rPr>
    </w:lvl>
  </w:abstract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微软雅黑" w:hAnsi="微软雅黑" w:eastAsia="微软雅黑" w:cs="微软雅黑"/>
      <w:lang w:val="zh-CN" w:eastAsia="zh-CN" w:bidi="zh-CN"/>
    </w:rPr>
  </w:style>
  <w:style w:styleId="BodyText" w:type="paragraph">
    <w:name w:val="Body Text"/>
    <w:basedOn w:val="Normal"/>
    <w:uiPriority w:val="1"/>
    <w:qFormat/>
    <w:pPr>
      <w:ind w:left="600"/>
    </w:pPr>
    <w:rPr>
      <w:rFonts w:ascii="微软雅黑" w:hAnsi="微软雅黑" w:eastAsia="微软雅黑" w:cs="微软雅黑"/>
      <w:sz w:val="24"/>
      <w:szCs w:val="24"/>
      <w:lang w:val="zh-CN" w:eastAsia="zh-CN" w:bidi="zh-CN"/>
    </w:rPr>
  </w:style>
  <w:style w:styleId="Heading1" w:type="paragraph">
    <w:name w:val="Heading 1"/>
    <w:basedOn w:val="Normal"/>
    <w:uiPriority w:val="1"/>
    <w:qFormat/>
    <w:pPr>
      <w:spacing w:line="581" w:lineRule="exact"/>
      <w:ind w:left="2490" w:right="2789"/>
      <w:jc w:val="center"/>
      <w:outlineLvl w:val="1"/>
    </w:pPr>
    <w:rPr>
      <w:rFonts w:ascii="微软雅黑" w:hAnsi="微软雅黑" w:eastAsia="微软雅黑" w:cs="微软雅黑"/>
      <w:b/>
      <w:bCs/>
      <w:sz w:val="32"/>
      <w:szCs w:val="32"/>
      <w:lang w:val="zh-CN" w:eastAsia="zh-CN" w:bidi="zh-CN"/>
    </w:rPr>
  </w:style>
  <w:style w:styleId="Heading2" w:type="paragraph">
    <w:name w:val="Heading 2"/>
    <w:basedOn w:val="Normal"/>
    <w:uiPriority w:val="1"/>
    <w:qFormat/>
    <w:pPr>
      <w:spacing w:before="1"/>
      <w:ind w:left="600"/>
      <w:outlineLvl w:val="2"/>
    </w:pPr>
    <w:rPr>
      <w:rFonts w:ascii="微软雅黑" w:hAnsi="微软雅黑" w:eastAsia="微软雅黑" w:cs="微软雅黑"/>
      <w:b/>
      <w:bCs/>
      <w:sz w:val="28"/>
      <w:szCs w:val="28"/>
      <w:lang w:val="zh-CN" w:eastAsia="zh-CN" w:bidi="zh-CN"/>
    </w:rPr>
  </w:style>
  <w:style w:styleId="ListParagraph" w:type="paragraph">
    <w:name w:val="List Paragraph"/>
    <w:basedOn w:val="Normal"/>
    <w:uiPriority w:val="1"/>
    <w:qFormat/>
    <w:pPr>
      <w:ind w:left="600"/>
    </w:pPr>
    <w:rPr>
      <w:rFonts w:ascii="微软雅黑" w:hAnsi="微软雅黑" w:eastAsia="微软雅黑" w:cs="微软雅黑"/>
      <w:lang w:val="zh-CN" w:eastAsia="zh-CN" w:bidi="zh-CN"/>
    </w:rPr>
  </w:style>
  <w:style w:styleId="TableParagraph" w:type="paragraph">
    <w:name w:val="Table Paragraph"/>
    <w:basedOn w:val="Normal"/>
    <w:uiPriority w:val="1"/>
    <w:qFormat/>
    <w:pPr/>
    <w:rPr>
      <w:rFonts w:ascii="微软雅黑" w:hAnsi="微软雅黑" w:eastAsia="微软雅黑" w:cs="微软雅黑"/>
      <w:lang w:val="zh-CN" w:eastAsia="zh-CN" w:bidi="zh-C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hyperlink" Target="http://www.aedu.eu/" TargetMode="External"/><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png"/><Relationship Id="rId15" Type="http://schemas.openxmlformats.org/officeDocument/2006/relationships/hyperlink" Target="http://www.jsj.edu.cn/" TargetMode="External"/><Relationship Id="rId16" Type="http://schemas.openxmlformats.org/officeDocument/2006/relationships/image" Target="media/image11.jpeg"/><Relationship Id="rId17" Type="http://schemas.openxmlformats.org/officeDocument/2006/relationships/hyperlink" Target="http://www.cscse.edu.cn/" TargetMode="External"/><Relationship Id="rId18" Type="http://schemas.openxmlformats.org/officeDocument/2006/relationships/image" Target="media/image12.jpeg"/><Relationship Id="rId19" Type="http://schemas.openxmlformats.org/officeDocument/2006/relationships/hyperlink" Target="http://www.china-ta.org/" TargetMode="External"/><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焦 小艳</dc:creator>
  <dcterms:created xsi:type="dcterms:W3CDTF">2021-03-18T03:49:50Z</dcterms:created>
  <dcterms:modified xsi:type="dcterms:W3CDTF">2021-03-18T03:49:50Z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2020-12-28T00:00:00Z</vt:filetime>
  </property>
  <property fmtid="{D5CDD505-2E9C-101B-9397-08002B2CF9AE}" pid="3" name="Creator">
    <vt:lpwstr>WPS 文字</vt:lpwstr>
  </property>
  <property fmtid="{D5CDD505-2E9C-101B-9397-08002B2CF9AE}" pid="4" name="LastSaved">
    <vt:filetime>2021-03-18T00:00:00Z</vt:filetime>
  </property>
</Properties>
</file>